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0DAFF" w14:textId="2F32C7CC" w:rsidR="3D2599ED" w:rsidRDefault="3D2599ED" w:rsidP="7A6E287E">
      <w:pPr>
        <w:spacing w:after="0"/>
        <w:rPr>
          <w:b/>
          <w:bCs/>
          <w:lang w:val="en-IE"/>
        </w:rPr>
      </w:pPr>
      <w:r>
        <w:rPr>
          <w:noProof/>
        </w:rPr>
        <w:drawing>
          <wp:inline distT="0" distB="0" distL="0" distR="0" wp14:anchorId="6E8F899B" wp14:editId="5E9B295B">
            <wp:extent cx="3200400" cy="671879"/>
            <wp:effectExtent l="0" t="0" r="0" b="0"/>
            <wp:docPr id="1879458891" name="Picture 187945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671879"/>
                    </a:xfrm>
                    <a:prstGeom prst="rect">
                      <a:avLst/>
                    </a:prstGeom>
                  </pic:spPr>
                </pic:pic>
              </a:graphicData>
            </a:graphic>
          </wp:inline>
        </w:drawing>
      </w:r>
    </w:p>
    <w:p w14:paraId="5CFBCA9C" w14:textId="0C2BAD02" w:rsidR="7A6E287E" w:rsidRDefault="7A6E287E" w:rsidP="7A6E287E">
      <w:pPr>
        <w:spacing w:after="0"/>
        <w:rPr>
          <w:b/>
          <w:bCs/>
          <w:lang w:val="en-IE"/>
        </w:rPr>
      </w:pPr>
    </w:p>
    <w:p w14:paraId="3A660A0E" w14:textId="3DD18A89" w:rsidR="7A6E287E" w:rsidRDefault="7A6E287E" w:rsidP="7A6E287E">
      <w:pPr>
        <w:spacing w:after="0"/>
        <w:rPr>
          <w:b/>
          <w:bCs/>
          <w:lang w:val="en-IE"/>
        </w:rPr>
      </w:pPr>
    </w:p>
    <w:p w14:paraId="6464B6F3" w14:textId="3746BFBA" w:rsidR="3F17BB71" w:rsidRPr="00804B0E" w:rsidRDefault="3F17BB71" w:rsidP="7A6E287E">
      <w:pPr>
        <w:spacing w:after="0"/>
        <w:rPr>
          <w:b/>
          <w:bCs/>
          <w:sz w:val="28"/>
          <w:szCs w:val="28"/>
          <w:lang w:val="en-IE"/>
        </w:rPr>
      </w:pPr>
      <w:r w:rsidRPr="7A6E287E">
        <w:rPr>
          <w:b/>
          <w:bCs/>
          <w:sz w:val="28"/>
          <w:szCs w:val="28"/>
          <w:lang w:val="en-IE"/>
        </w:rPr>
        <w:t>R</w:t>
      </w:r>
      <w:r w:rsidR="244DB5E1" w:rsidRPr="7A6E287E">
        <w:rPr>
          <w:b/>
          <w:bCs/>
          <w:sz w:val="28"/>
          <w:szCs w:val="28"/>
          <w:lang w:val="en-IE"/>
        </w:rPr>
        <w:t>esidential Tenancies Board</w:t>
      </w:r>
      <w:r w:rsidRPr="7A6E287E">
        <w:rPr>
          <w:b/>
          <w:bCs/>
          <w:sz w:val="28"/>
          <w:szCs w:val="28"/>
          <w:lang w:val="en-IE"/>
        </w:rPr>
        <w:t xml:space="preserve"> Releases </w:t>
      </w:r>
      <w:r w:rsidR="5C371E0C" w:rsidRPr="7A6E287E">
        <w:rPr>
          <w:b/>
          <w:bCs/>
          <w:sz w:val="28"/>
          <w:szCs w:val="28"/>
          <w:lang w:val="en-IE"/>
        </w:rPr>
        <w:t xml:space="preserve">Q1 2024 Rent Index and ‘Individual Property Level Analysis’ </w:t>
      </w:r>
      <w:r w:rsidR="006E2C15" w:rsidRPr="7A6E287E">
        <w:rPr>
          <w:b/>
          <w:bCs/>
          <w:sz w:val="28"/>
          <w:szCs w:val="28"/>
          <w:lang w:val="en-IE"/>
        </w:rPr>
        <w:t xml:space="preserve">Preliminary </w:t>
      </w:r>
      <w:r w:rsidR="00987F8C" w:rsidRPr="7A6E287E">
        <w:rPr>
          <w:b/>
          <w:bCs/>
          <w:sz w:val="28"/>
          <w:szCs w:val="28"/>
          <w:lang w:val="en-IE"/>
        </w:rPr>
        <w:t>Findings</w:t>
      </w:r>
    </w:p>
    <w:p w14:paraId="40315219" w14:textId="3838DFF2" w:rsidR="5569C2AE" w:rsidRPr="00804B0E" w:rsidRDefault="5569C2AE" w:rsidP="004E4B81">
      <w:pPr>
        <w:spacing w:after="0"/>
        <w:rPr>
          <w:i/>
          <w:iCs/>
          <w:lang w:val="en-IE"/>
        </w:rPr>
      </w:pPr>
    </w:p>
    <w:p w14:paraId="0CCB249F" w14:textId="5B8A8851" w:rsidR="4AF9E35E" w:rsidRPr="00804B0E" w:rsidRDefault="007E4555" w:rsidP="004E4B81">
      <w:pPr>
        <w:pStyle w:val="ListParagraph"/>
        <w:numPr>
          <w:ilvl w:val="0"/>
          <w:numId w:val="4"/>
        </w:numPr>
        <w:spacing w:after="0"/>
        <w:rPr>
          <w:i/>
          <w:iCs/>
          <w:lang w:val="en-IE"/>
        </w:rPr>
      </w:pPr>
      <w:r w:rsidRPr="00804B0E">
        <w:rPr>
          <w:b/>
          <w:bCs/>
          <w:i/>
          <w:iCs/>
          <w:lang w:val="en-IE"/>
        </w:rPr>
        <w:t xml:space="preserve">Nationally, </w:t>
      </w:r>
      <w:r w:rsidR="006E4589" w:rsidRPr="00804B0E">
        <w:rPr>
          <w:b/>
          <w:bCs/>
          <w:i/>
          <w:iCs/>
          <w:lang w:val="en-IE"/>
        </w:rPr>
        <w:t>rent</w:t>
      </w:r>
      <w:r w:rsidR="003E0566" w:rsidRPr="00804B0E">
        <w:rPr>
          <w:b/>
          <w:bCs/>
          <w:i/>
          <w:iCs/>
          <w:lang w:val="en-IE"/>
        </w:rPr>
        <w:t xml:space="preserve"> </w:t>
      </w:r>
      <w:r w:rsidR="00D92336">
        <w:rPr>
          <w:b/>
          <w:bCs/>
          <w:i/>
          <w:iCs/>
          <w:lang w:val="en-IE"/>
        </w:rPr>
        <w:t>has</w:t>
      </w:r>
      <w:r w:rsidRPr="00804B0E">
        <w:rPr>
          <w:b/>
          <w:bCs/>
          <w:i/>
          <w:iCs/>
          <w:lang w:val="en-IE"/>
        </w:rPr>
        <w:t xml:space="preserve"> increased</w:t>
      </w:r>
      <w:r w:rsidR="005C4B0E">
        <w:rPr>
          <w:b/>
          <w:bCs/>
          <w:i/>
          <w:iCs/>
          <w:lang w:val="en-IE"/>
        </w:rPr>
        <w:t xml:space="preserve"> for new and existing tenancie</w:t>
      </w:r>
      <w:r w:rsidR="00D92336">
        <w:rPr>
          <w:b/>
          <w:bCs/>
          <w:i/>
          <w:iCs/>
          <w:lang w:val="en-IE"/>
        </w:rPr>
        <w:t>s</w:t>
      </w:r>
      <w:r w:rsidRPr="00804B0E">
        <w:rPr>
          <w:i/>
          <w:iCs/>
          <w:lang w:val="en-IE"/>
        </w:rPr>
        <w:t xml:space="preserve">. </w:t>
      </w:r>
      <w:r w:rsidR="008C0DB1" w:rsidRPr="00804B0E">
        <w:rPr>
          <w:i/>
          <w:iCs/>
          <w:lang w:val="en-IE"/>
        </w:rPr>
        <w:t>In Q1 2024, t</w:t>
      </w:r>
      <w:r w:rsidR="00E413AF" w:rsidRPr="00804B0E">
        <w:rPr>
          <w:i/>
          <w:iCs/>
          <w:lang w:val="en-IE"/>
        </w:rPr>
        <w:t>he</w:t>
      </w:r>
      <w:r w:rsidR="4E9EFF14" w:rsidRPr="00804B0E">
        <w:rPr>
          <w:i/>
          <w:iCs/>
          <w:lang w:val="en-IE"/>
        </w:rPr>
        <w:t xml:space="preserve"> average rent grew by 8.1% for new tenancies and 5.9% for existing tenancies</w:t>
      </w:r>
      <w:r w:rsidR="0041129A" w:rsidRPr="00804B0E">
        <w:rPr>
          <w:i/>
          <w:iCs/>
          <w:lang w:val="en-IE"/>
        </w:rPr>
        <w:t xml:space="preserve"> </w:t>
      </w:r>
      <w:r w:rsidR="00D92336">
        <w:rPr>
          <w:i/>
          <w:iCs/>
          <w:lang w:val="en-IE"/>
        </w:rPr>
        <w:t>annually.</w:t>
      </w:r>
    </w:p>
    <w:p w14:paraId="06A9EDB9" w14:textId="0DD2740F" w:rsidR="4AF9E35E" w:rsidRPr="00804B0E" w:rsidRDefault="00661571" w:rsidP="004E4B81">
      <w:pPr>
        <w:pStyle w:val="ListParagraph"/>
        <w:numPr>
          <w:ilvl w:val="0"/>
          <w:numId w:val="4"/>
        </w:numPr>
        <w:spacing w:after="0"/>
        <w:rPr>
          <w:i/>
          <w:iCs/>
          <w:lang w:val="en-IE"/>
        </w:rPr>
      </w:pPr>
      <w:r w:rsidRPr="00804B0E">
        <w:rPr>
          <w:b/>
          <w:bCs/>
          <w:i/>
          <w:iCs/>
          <w:lang w:val="en-IE"/>
        </w:rPr>
        <w:t>N</w:t>
      </w:r>
      <w:r w:rsidR="595535E6" w:rsidRPr="00804B0E">
        <w:rPr>
          <w:b/>
          <w:bCs/>
          <w:i/>
          <w:iCs/>
          <w:lang w:val="en-IE"/>
        </w:rPr>
        <w:t>ew tenanc</w:t>
      </w:r>
      <w:r w:rsidRPr="00804B0E">
        <w:rPr>
          <w:b/>
          <w:bCs/>
          <w:i/>
          <w:iCs/>
          <w:lang w:val="en-IE"/>
        </w:rPr>
        <w:t>y rent</w:t>
      </w:r>
      <w:r w:rsidR="006751E9" w:rsidRPr="00804B0E">
        <w:rPr>
          <w:b/>
          <w:bCs/>
          <w:i/>
          <w:iCs/>
          <w:lang w:val="en-IE"/>
        </w:rPr>
        <w:t>s</w:t>
      </w:r>
      <w:r w:rsidRPr="00804B0E">
        <w:rPr>
          <w:b/>
          <w:bCs/>
          <w:i/>
          <w:iCs/>
          <w:lang w:val="en-IE"/>
        </w:rPr>
        <w:t xml:space="preserve"> are rising more slowly in Dublin.</w:t>
      </w:r>
      <w:r w:rsidR="595535E6" w:rsidRPr="00804B0E">
        <w:rPr>
          <w:i/>
          <w:iCs/>
          <w:lang w:val="en-IE"/>
        </w:rPr>
        <w:t xml:space="preserve"> Rents for new tenancies in Dublin rose 6.3%</w:t>
      </w:r>
      <w:r w:rsidR="00E342D8" w:rsidRPr="00804B0E">
        <w:rPr>
          <w:i/>
          <w:iCs/>
          <w:lang w:val="en-IE"/>
        </w:rPr>
        <w:t xml:space="preserve"> year-on-year</w:t>
      </w:r>
      <w:r w:rsidR="595535E6" w:rsidRPr="00804B0E">
        <w:rPr>
          <w:i/>
          <w:iCs/>
          <w:lang w:val="en-IE"/>
        </w:rPr>
        <w:t xml:space="preserve">, compared with 12.2% outside of Dublin. </w:t>
      </w:r>
    </w:p>
    <w:p w14:paraId="23C9C7FC" w14:textId="77777777" w:rsidR="008E15A2" w:rsidRPr="00804B0E" w:rsidRDefault="03D43411" w:rsidP="004E4B81">
      <w:pPr>
        <w:pStyle w:val="ListParagraph"/>
        <w:numPr>
          <w:ilvl w:val="0"/>
          <w:numId w:val="4"/>
        </w:numPr>
        <w:spacing w:after="0"/>
        <w:rPr>
          <w:i/>
          <w:iCs/>
          <w:lang w:val="en-IE"/>
        </w:rPr>
      </w:pPr>
      <w:r w:rsidRPr="00804B0E">
        <w:rPr>
          <w:b/>
          <w:bCs/>
          <w:i/>
          <w:iCs/>
          <w:lang w:val="en-IE"/>
        </w:rPr>
        <w:t>Sitting tenants continue to pay lower rents than new tenants</w:t>
      </w:r>
      <w:r w:rsidR="1AFEA4BF" w:rsidRPr="00804B0E">
        <w:rPr>
          <w:b/>
          <w:bCs/>
          <w:i/>
          <w:iCs/>
          <w:lang w:val="en-IE"/>
        </w:rPr>
        <w:t>.</w:t>
      </w:r>
      <w:r w:rsidR="1AFEA4BF" w:rsidRPr="00804B0E">
        <w:rPr>
          <w:i/>
          <w:iCs/>
          <w:lang w:val="en-IE"/>
        </w:rPr>
        <w:t xml:space="preserve"> The standardised average rent paid by new tenants nationally is now </w:t>
      </w:r>
      <w:r w:rsidR="0584D12A" w:rsidRPr="00804B0E">
        <w:rPr>
          <w:i/>
          <w:iCs/>
          <w:lang w:val="en-IE"/>
        </w:rPr>
        <w:t>€</w:t>
      </w:r>
      <w:r w:rsidR="1AFEA4BF" w:rsidRPr="00804B0E">
        <w:rPr>
          <w:i/>
          <w:iCs/>
          <w:lang w:val="en-IE"/>
        </w:rPr>
        <w:t xml:space="preserve">1,612 per month, while for existing </w:t>
      </w:r>
      <w:r w:rsidR="7C73BE4B" w:rsidRPr="00804B0E">
        <w:rPr>
          <w:i/>
          <w:iCs/>
          <w:lang w:val="en-IE"/>
        </w:rPr>
        <w:t xml:space="preserve">tenants it is </w:t>
      </w:r>
      <w:r w:rsidR="3CC7C7E4" w:rsidRPr="00804B0E">
        <w:rPr>
          <w:i/>
          <w:iCs/>
          <w:lang w:val="en-IE"/>
        </w:rPr>
        <w:t>€</w:t>
      </w:r>
      <w:r w:rsidR="7C73BE4B" w:rsidRPr="00804B0E">
        <w:rPr>
          <w:i/>
          <w:iCs/>
          <w:lang w:val="en-IE"/>
        </w:rPr>
        <w:t xml:space="preserve">1,391 – a difference of </w:t>
      </w:r>
      <w:r w:rsidR="40CDC940" w:rsidRPr="00804B0E">
        <w:rPr>
          <w:i/>
          <w:iCs/>
          <w:lang w:val="en-IE"/>
        </w:rPr>
        <w:t>€221 or 15.9%</w:t>
      </w:r>
      <w:r w:rsidR="7C73BE4B" w:rsidRPr="00804B0E">
        <w:rPr>
          <w:i/>
          <w:iCs/>
          <w:lang w:val="en-IE"/>
        </w:rPr>
        <w:t>.</w:t>
      </w:r>
      <w:r w:rsidR="008E15A2" w:rsidRPr="00804B0E">
        <w:rPr>
          <w:b/>
          <w:bCs/>
          <w:i/>
          <w:iCs/>
          <w:lang w:val="en-IE"/>
        </w:rPr>
        <w:t xml:space="preserve"> </w:t>
      </w:r>
    </w:p>
    <w:p w14:paraId="72C8885C" w14:textId="3BDD23C8" w:rsidR="008E15A2" w:rsidRPr="00804B0E" w:rsidRDefault="4CB8E06E" w:rsidP="4618C905">
      <w:pPr>
        <w:pStyle w:val="ListParagraph"/>
        <w:numPr>
          <w:ilvl w:val="0"/>
          <w:numId w:val="4"/>
        </w:numPr>
        <w:spacing w:after="0"/>
        <w:rPr>
          <w:i/>
          <w:iCs/>
          <w:lang w:val="en-IE"/>
        </w:rPr>
      </w:pPr>
      <w:r w:rsidRPr="4618C905">
        <w:rPr>
          <w:b/>
          <w:bCs/>
          <w:i/>
          <w:iCs/>
          <w:lang w:val="en-IE"/>
        </w:rPr>
        <w:t>Carrigaline</w:t>
      </w:r>
      <w:r w:rsidR="2A521896" w:rsidRPr="4618C905">
        <w:rPr>
          <w:b/>
          <w:bCs/>
          <w:i/>
          <w:iCs/>
          <w:lang w:val="en-IE"/>
        </w:rPr>
        <w:t xml:space="preserve"> </w:t>
      </w:r>
      <w:r w:rsidR="63915FC3" w:rsidRPr="4618C905">
        <w:rPr>
          <w:b/>
          <w:bCs/>
          <w:i/>
          <w:iCs/>
          <w:lang w:val="en-IE"/>
        </w:rPr>
        <w:t>LEA</w:t>
      </w:r>
      <w:r w:rsidRPr="4618C905">
        <w:rPr>
          <w:b/>
          <w:bCs/>
          <w:i/>
          <w:iCs/>
          <w:lang w:val="en-IE"/>
        </w:rPr>
        <w:t xml:space="preserve"> and Galway </w:t>
      </w:r>
      <w:r w:rsidR="2A521896" w:rsidRPr="4618C905">
        <w:rPr>
          <w:b/>
          <w:bCs/>
          <w:i/>
          <w:iCs/>
          <w:lang w:val="en-IE"/>
        </w:rPr>
        <w:t>C</w:t>
      </w:r>
      <w:r w:rsidRPr="4618C905">
        <w:rPr>
          <w:b/>
          <w:bCs/>
          <w:i/>
          <w:iCs/>
          <w:lang w:val="en-IE"/>
        </w:rPr>
        <w:t>ounty</w:t>
      </w:r>
      <w:r w:rsidR="5B144D3B" w:rsidRPr="4618C905">
        <w:rPr>
          <w:b/>
          <w:bCs/>
          <w:i/>
          <w:iCs/>
          <w:lang w:val="en-IE"/>
        </w:rPr>
        <w:t xml:space="preserve"> </w:t>
      </w:r>
      <w:r w:rsidR="10666E6A" w:rsidRPr="4618C905">
        <w:rPr>
          <w:b/>
          <w:bCs/>
          <w:i/>
          <w:iCs/>
          <w:lang w:val="en-IE"/>
        </w:rPr>
        <w:t xml:space="preserve">now </w:t>
      </w:r>
      <w:r w:rsidRPr="4618C905">
        <w:rPr>
          <w:b/>
          <w:bCs/>
          <w:i/>
          <w:iCs/>
          <w:lang w:val="en-IE"/>
        </w:rPr>
        <w:t>meet the criteria for Rent Pressure Zone (RPZ) designation</w:t>
      </w:r>
      <w:r w:rsidR="25F1834E" w:rsidRPr="4618C905">
        <w:rPr>
          <w:b/>
          <w:bCs/>
          <w:i/>
          <w:iCs/>
          <w:lang w:val="en-IE"/>
        </w:rPr>
        <w:t>.</w:t>
      </w:r>
      <w:r w:rsidRPr="4618C905">
        <w:rPr>
          <w:lang w:val="en-IE"/>
        </w:rPr>
        <w:t xml:space="preserve"> </w:t>
      </w:r>
    </w:p>
    <w:p w14:paraId="0F284D6C" w14:textId="740BC068" w:rsidR="5569C2AE" w:rsidRPr="0050771E" w:rsidRDefault="62740D7E" w:rsidP="4618C905">
      <w:pPr>
        <w:pStyle w:val="ListParagraph"/>
        <w:numPr>
          <w:ilvl w:val="0"/>
          <w:numId w:val="4"/>
        </w:numPr>
        <w:spacing w:after="0"/>
        <w:rPr>
          <w:i/>
          <w:iCs/>
          <w:lang w:val="en-IE"/>
        </w:rPr>
      </w:pPr>
      <w:r w:rsidRPr="4618C905">
        <w:rPr>
          <w:b/>
          <w:bCs/>
          <w:i/>
          <w:iCs/>
          <w:lang w:val="en-IE"/>
        </w:rPr>
        <w:t>Th</w:t>
      </w:r>
      <w:r w:rsidR="49180F89" w:rsidRPr="4618C905">
        <w:rPr>
          <w:b/>
          <w:bCs/>
          <w:i/>
          <w:iCs/>
          <w:lang w:val="en-IE"/>
        </w:rPr>
        <w:t xml:space="preserve">e Q1 2024 Rent Index </w:t>
      </w:r>
      <w:r w:rsidR="1277B6FD" w:rsidRPr="4618C905">
        <w:rPr>
          <w:b/>
          <w:bCs/>
          <w:i/>
          <w:iCs/>
          <w:lang w:val="en-IE"/>
        </w:rPr>
        <w:t>is shared</w:t>
      </w:r>
      <w:r w:rsidR="49180F89" w:rsidRPr="4618C905">
        <w:rPr>
          <w:b/>
          <w:bCs/>
          <w:i/>
          <w:iCs/>
          <w:lang w:val="en-IE"/>
        </w:rPr>
        <w:t xml:space="preserve"> with preliminary findings from a</w:t>
      </w:r>
      <w:r w:rsidR="770972CC" w:rsidRPr="4618C905">
        <w:rPr>
          <w:b/>
          <w:bCs/>
          <w:i/>
          <w:iCs/>
          <w:lang w:val="en-IE"/>
        </w:rPr>
        <w:t>n additional</w:t>
      </w:r>
      <w:r w:rsidR="49180F89" w:rsidRPr="4618C905">
        <w:rPr>
          <w:b/>
          <w:bCs/>
          <w:i/>
          <w:iCs/>
          <w:lang w:val="en-IE"/>
        </w:rPr>
        <w:t xml:space="preserve"> ‘Individual Property Level Analysis’</w:t>
      </w:r>
      <w:r w:rsidR="28350098" w:rsidRPr="4618C905">
        <w:rPr>
          <w:b/>
          <w:bCs/>
          <w:i/>
          <w:iCs/>
          <w:lang w:val="en-IE"/>
        </w:rPr>
        <w:t xml:space="preserve"> </w:t>
      </w:r>
      <w:r w:rsidR="169B8EA7" w:rsidRPr="4618C905">
        <w:rPr>
          <w:i/>
          <w:iCs/>
          <w:lang w:val="en-IE"/>
        </w:rPr>
        <w:t>commissioned to help the RTB</w:t>
      </w:r>
      <w:r w:rsidR="28350098" w:rsidRPr="4618C905">
        <w:rPr>
          <w:i/>
          <w:iCs/>
          <w:lang w:val="en-IE"/>
        </w:rPr>
        <w:t xml:space="preserve"> understand</w:t>
      </w:r>
      <w:r w:rsidR="6B3DFB9A" w:rsidRPr="4618C905">
        <w:rPr>
          <w:i/>
          <w:iCs/>
          <w:lang w:val="en-IE"/>
        </w:rPr>
        <w:t xml:space="preserve"> the extent </w:t>
      </w:r>
      <w:r w:rsidR="6BDA023D" w:rsidRPr="4618C905">
        <w:rPr>
          <w:i/>
          <w:iCs/>
          <w:lang w:val="en-IE"/>
        </w:rPr>
        <w:t>of</w:t>
      </w:r>
      <w:r w:rsidR="28350098" w:rsidRPr="4618C905">
        <w:rPr>
          <w:i/>
          <w:iCs/>
          <w:lang w:val="en-IE"/>
        </w:rPr>
        <w:t xml:space="preserve"> </w:t>
      </w:r>
      <w:r w:rsidR="06787076" w:rsidRPr="4618C905">
        <w:rPr>
          <w:i/>
          <w:iCs/>
          <w:lang w:val="en-IE"/>
        </w:rPr>
        <w:t xml:space="preserve">rent increases in excess of </w:t>
      </w:r>
      <w:r w:rsidR="4CB8E06E" w:rsidRPr="4618C905">
        <w:rPr>
          <w:i/>
          <w:iCs/>
          <w:lang w:val="en-IE"/>
        </w:rPr>
        <w:t>RPZ</w:t>
      </w:r>
      <w:r w:rsidR="4A7DEA7D" w:rsidRPr="4618C905">
        <w:rPr>
          <w:i/>
          <w:iCs/>
          <w:lang w:val="en-IE"/>
        </w:rPr>
        <w:t xml:space="preserve"> limits</w:t>
      </w:r>
      <w:r w:rsidR="65B399D9" w:rsidRPr="4618C905">
        <w:rPr>
          <w:i/>
          <w:iCs/>
          <w:lang w:val="en-IE"/>
        </w:rPr>
        <w:t>, where they apply</w:t>
      </w:r>
      <w:r w:rsidR="6F2FD7EC" w:rsidRPr="4618C905">
        <w:rPr>
          <w:i/>
          <w:iCs/>
          <w:lang w:val="en-IE"/>
        </w:rPr>
        <w:t>.</w:t>
      </w:r>
      <w:r w:rsidR="4391C291" w:rsidRPr="4618C905">
        <w:rPr>
          <w:i/>
          <w:iCs/>
          <w:lang w:val="en-IE"/>
        </w:rPr>
        <w:t xml:space="preserve"> </w:t>
      </w:r>
      <w:r w:rsidR="61A19DF4" w:rsidRPr="4618C905">
        <w:rPr>
          <w:i/>
          <w:iCs/>
          <w:lang w:val="en-IE"/>
        </w:rPr>
        <w:t>It</w:t>
      </w:r>
      <w:r w:rsidR="7CAD73F8" w:rsidRPr="4618C905">
        <w:rPr>
          <w:i/>
          <w:iCs/>
          <w:lang w:val="en-IE"/>
        </w:rPr>
        <w:t xml:space="preserve"> shows </w:t>
      </w:r>
      <w:r w:rsidR="6616BA3D" w:rsidRPr="4618C905">
        <w:rPr>
          <w:i/>
          <w:iCs/>
          <w:lang w:val="en-IE"/>
        </w:rPr>
        <w:t>74</w:t>
      </w:r>
      <w:r w:rsidR="7CAD73F8" w:rsidRPr="4618C905">
        <w:rPr>
          <w:i/>
          <w:iCs/>
          <w:lang w:val="en-IE"/>
        </w:rPr>
        <w:t xml:space="preserve">% </w:t>
      </w:r>
      <w:r w:rsidR="7493A4E2" w:rsidRPr="4618C905">
        <w:rPr>
          <w:i/>
          <w:iCs/>
          <w:lang w:val="en-IE"/>
        </w:rPr>
        <w:t>o</w:t>
      </w:r>
      <w:r w:rsidR="7CAD73F8" w:rsidRPr="4618C905">
        <w:rPr>
          <w:i/>
          <w:iCs/>
          <w:lang w:val="en-IE"/>
        </w:rPr>
        <w:t xml:space="preserve">f existing tenants </w:t>
      </w:r>
      <w:r w:rsidR="49BCC538" w:rsidRPr="4618C905">
        <w:rPr>
          <w:i/>
          <w:iCs/>
          <w:lang w:val="en-IE"/>
        </w:rPr>
        <w:t xml:space="preserve">nationally </w:t>
      </w:r>
      <w:r w:rsidR="7CAD73F8" w:rsidRPr="4618C905">
        <w:rPr>
          <w:i/>
          <w:iCs/>
          <w:lang w:val="en-IE"/>
        </w:rPr>
        <w:t xml:space="preserve">experienced </w:t>
      </w:r>
      <w:r w:rsidR="3708EE35" w:rsidRPr="4618C905">
        <w:rPr>
          <w:i/>
          <w:iCs/>
          <w:lang w:val="en-IE"/>
        </w:rPr>
        <w:t xml:space="preserve">annual </w:t>
      </w:r>
      <w:r w:rsidR="7CAD73F8" w:rsidRPr="4618C905">
        <w:rPr>
          <w:i/>
          <w:iCs/>
          <w:lang w:val="en-IE"/>
        </w:rPr>
        <w:t>rent increases of 2% or less</w:t>
      </w:r>
      <w:r w:rsidR="0CCE1A45" w:rsidRPr="4618C905">
        <w:rPr>
          <w:i/>
          <w:iCs/>
          <w:lang w:val="en-IE"/>
        </w:rPr>
        <w:t xml:space="preserve"> between Q2 2022 and Q1 2024.</w:t>
      </w:r>
    </w:p>
    <w:p w14:paraId="2DD560A0" w14:textId="77777777" w:rsidR="00A310F2" w:rsidRPr="00804B0E" w:rsidRDefault="00A310F2" w:rsidP="004E4B81">
      <w:pPr>
        <w:spacing w:after="0"/>
        <w:rPr>
          <w:lang w:val="en-IE"/>
        </w:rPr>
      </w:pPr>
    </w:p>
    <w:p w14:paraId="2CFA6465" w14:textId="0572EC13" w:rsidR="07FD7470" w:rsidRPr="00804B0E" w:rsidRDefault="07FD7470" w:rsidP="004E4B81">
      <w:pPr>
        <w:spacing w:after="0"/>
        <w:rPr>
          <w:lang w:val="en-IE"/>
        </w:rPr>
      </w:pPr>
      <w:r w:rsidRPr="00804B0E">
        <w:rPr>
          <w:b/>
          <w:bCs/>
          <w:lang w:val="en-IE"/>
        </w:rPr>
        <w:t>12 September 2024</w:t>
      </w:r>
      <w:r w:rsidR="25AE9184" w:rsidRPr="00804B0E">
        <w:rPr>
          <w:b/>
          <w:bCs/>
          <w:lang w:val="en-IE"/>
        </w:rPr>
        <w:t>:</w:t>
      </w:r>
      <w:r w:rsidR="25AE9184" w:rsidRPr="00804B0E">
        <w:rPr>
          <w:lang w:val="en-IE"/>
        </w:rPr>
        <w:t xml:space="preserve"> The Residential Tenancies Board</w:t>
      </w:r>
      <w:r w:rsidR="4ECB07AD" w:rsidRPr="00804B0E">
        <w:rPr>
          <w:lang w:val="en-IE"/>
        </w:rPr>
        <w:t xml:space="preserve"> (RTB)</w:t>
      </w:r>
      <w:r w:rsidR="25AE9184" w:rsidRPr="00804B0E">
        <w:rPr>
          <w:lang w:val="en-IE"/>
        </w:rPr>
        <w:t xml:space="preserve"> has </w:t>
      </w:r>
      <w:r w:rsidR="63045E99" w:rsidRPr="00804B0E">
        <w:rPr>
          <w:lang w:val="en-IE"/>
        </w:rPr>
        <w:t>published the Q1 2024 Rent Index today</w:t>
      </w:r>
      <w:r w:rsidR="76E78090" w:rsidRPr="00804B0E">
        <w:rPr>
          <w:lang w:val="en-IE"/>
        </w:rPr>
        <w:t>.</w:t>
      </w:r>
      <w:r w:rsidR="25AE9184" w:rsidRPr="00804B0E">
        <w:rPr>
          <w:lang w:val="en-IE"/>
        </w:rPr>
        <w:t xml:space="preserve"> </w:t>
      </w:r>
      <w:r w:rsidR="118F507B" w:rsidRPr="00804B0E">
        <w:rPr>
          <w:lang w:val="en-IE"/>
        </w:rPr>
        <w:t>The</w:t>
      </w:r>
      <w:r w:rsidR="1DAB5090" w:rsidRPr="00804B0E">
        <w:rPr>
          <w:lang w:val="en-IE"/>
        </w:rPr>
        <w:t xml:space="preserve"> quarterly </w:t>
      </w:r>
      <w:r w:rsidR="118F507B" w:rsidRPr="00804B0E">
        <w:rPr>
          <w:lang w:val="en-IE"/>
        </w:rPr>
        <w:t>index tracks price developments in the Irish rental market over time</w:t>
      </w:r>
      <w:r w:rsidR="5F0437B0" w:rsidRPr="00804B0E">
        <w:rPr>
          <w:lang w:val="en-IE"/>
        </w:rPr>
        <w:t>. It is based on</w:t>
      </w:r>
      <w:r w:rsidR="4EB6B482" w:rsidRPr="00804B0E">
        <w:rPr>
          <w:lang w:val="en-IE"/>
        </w:rPr>
        <w:t xml:space="preserve"> </w:t>
      </w:r>
      <w:r w:rsidR="5F0437B0" w:rsidRPr="00804B0E">
        <w:rPr>
          <w:lang w:val="en-IE"/>
        </w:rPr>
        <w:t xml:space="preserve">RTB </w:t>
      </w:r>
      <w:r w:rsidR="2740ACC1" w:rsidRPr="00804B0E">
        <w:rPr>
          <w:lang w:val="en-IE"/>
        </w:rPr>
        <w:t xml:space="preserve">tenancy registration data </w:t>
      </w:r>
      <w:r w:rsidR="1F33D971" w:rsidRPr="00804B0E">
        <w:rPr>
          <w:lang w:val="en-IE"/>
        </w:rPr>
        <w:t>that</w:t>
      </w:r>
      <w:r w:rsidR="2740ACC1" w:rsidRPr="00804B0E">
        <w:rPr>
          <w:lang w:val="en-IE"/>
        </w:rPr>
        <w:t xml:space="preserve"> is independently analysed by the </w:t>
      </w:r>
      <w:r w:rsidR="007E4555" w:rsidRPr="00804B0E">
        <w:rPr>
          <w:lang w:val="en-IE"/>
        </w:rPr>
        <w:t>Economic and Social Research Institute (ESRI)</w:t>
      </w:r>
      <w:r w:rsidR="2740ACC1" w:rsidRPr="00804B0E">
        <w:rPr>
          <w:lang w:val="en-IE"/>
        </w:rPr>
        <w:t xml:space="preserve">. </w:t>
      </w:r>
      <w:r w:rsidR="78E58D18" w:rsidRPr="00804B0E">
        <w:rPr>
          <w:lang w:val="en-IE"/>
        </w:rPr>
        <w:t>It</w:t>
      </w:r>
      <w:r w:rsidR="6FB06D22" w:rsidRPr="00804B0E">
        <w:rPr>
          <w:lang w:val="en-IE"/>
        </w:rPr>
        <w:t xml:space="preserve"> shows</w:t>
      </w:r>
      <w:r w:rsidR="557E8C97" w:rsidRPr="00804B0E">
        <w:rPr>
          <w:lang w:val="en-IE"/>
        </w:rPr>
        <w:t xml:space="preserve"> the standardised average rent grew by 8.1% for new tenancies</w:t>
      </w:r>
      <w:r w:rsidR="3973E0A1" w:rsidRPr="00804B0E">
        <w:rPr>
          <w:lang w:val="en-IE"/>
        </w:rPr>
        <w:t xml:space="preserve"> nationally</w:t>
      </w:r>
      <w:r w:rsidR="557E8C97" w:rsidRPr="00804B0E">
        <w:rPr>
          <w:lang w:val="en-IE"/>
        </w:rPr>
        <w:t xml:space="preserve"> and </w:t>
      </w:r>
      <w:r w:rsidR="67C98A99" w:rsidRPr="00804B0E">
        <w:rPr>
          <w:lang w:val="en-IE"/>
        </w:rPr>
        <w:t xml:space="preserve">by </w:t>
      </w:r>
      <w:r w:rsidR="557E8C97" w:rsidRPr="00804B0E">
        <w:rPr>
          <w:lang w:val="en-IE"/>
        </w:rPr>
        <w:t xml:space="preserve">5.9% for existing tenancies </w:t>
      </w:r>
      <w:r w:rsidR="7F5167A7" w:rsidRPr="00804B0E">
        <w:rPr>
          <w:lang w:val="en-IE"/>
        </w:rPr>
        <w:t>between Q1 2023 and Q1 2024.</w:t>
      </w:r>
      <w:r w:rsidR="6C427E9D" w:rsidRPr="00804B0E">
        <w:rPr>
          <w:lang w:val="en-IE"/>
        </w:rPr>
        <w:t xml:space="preserve"> </w:t>
      </w:r>
    </w:p>
    <w:p w14:paraId="2846E0B0" w14:textId="04D54212" w:rsidR="1CB9AD66" w:rsidRPr="00804B0E" w:rsidRDefault="1CB9AD66" w:rsidP="004E4B81">
      <w:pPr>
        <w:spacing w:after="0"/>
        <w:rPr>
          <w:lang w:val="en-IE"/>
        </w:rPr>
      </w:pPr>
    </w:p>
    <w:p w14:paraId="1019ED3C" w14:textId="4E87B580" w:rsidR="008E15A2" w:rsidRPr="00804B0E" w:rsidRDefault="38025B57" w:rsidP="004E4B81">
      <w:pPr>
        <w:spacing w:after="0"/>
        <w:rPr>
          <w:lang w:val="en-IE"/>
        </w:rPr>
      </w:pPr>
      <w:r w:rsidRPr="0692D867">
        <w:rPr>
          <w:lang w:val="en-IE"/>
        </w:rPr>
        <w:t xml:space="preserve">The quarterly Rent Index provides the most accurate picture of how </w:t>
      </w:r>
      <w:r w:rsidR="29640F37" w:rsidRPr="0692D867">
        <w:rPr>
          <w:lang w:val="en-IE"/>
        </w:rPr>
        <w:t xml:space="preserve">average </w:t>
      </w:r>
      <w:r w:rsidRPr="0692D867">
        <w:rPr>
          <w:lang w:val="en-IE"/>
        </w:rPr>
        <w:t xml:space="preserve">rents are changing for new and existing tenancies in Ireland. </w:t>
      </w:r>
      <w:r w:rsidR="0066708B" w:rsidRPr="0692D867">
        <w:rPr>
          <w:lang w:val="en-IE"/>
        </w:rPr>
        <w:t xml:space="preserve">The figures published today </w:t>
      </w:r>
      <w:r w:rsidR="00D048AE" w:rsidRPr="0692D867">
        <w:rPr>
          <w:lang w:val="en-IE"/>
        </w:rPr>
        <w:t xml:space="preserve">compare the standardised </w:t>
      </w:r>
      <w:r w:rsidR="127C77A7" w:rsidRPr="0692D867">
        <w:rPr>
          <w:lang w:val="en-IE"/>
        </w:rPr>
        <w:t xml:space="preserve">average </w:t>
      </w:r>
      <w:r w:rsidR="00D048AE" w:rsidRPr="0692D867">
        <w:rPr>
          <w:lang w:val="en-IE"/>
        </w:rPr>
        <w:t xml:space="preserve">rent </w:t>
      </w:r>
      <w:r w:rsidR="0066708B" w:rsidRPr="0692D867">
        <w:rPr>
          <w:lang w:val="en-IE"/>
        </w:rPr>
        <w:t>for all new and existing tenancies registered in Q1 2024</w:t>
      </w:r>
      <w:r w:rsidR="00D048AE" w:rsidRPr="0692D867">
        <w:rPr>
          <w:lang w:val="en-IE"/>
        </w:rPr>
        <w:t xml:space="preserve"> with </w:t>
      </w:r>
      <w:r w:rsidR="00AF6428" w:rsidRPr="0692D867">
        <w:rPr>
          <w:lang w:val="en-IE"/>
        </w:rPr>
        <w:t xml:space="preserve">a </w:t>
      </w:r>
      <w:r w:rsidR="00D048AE" w:rsidRPr="0692D867">
        <w:rPr>
          <w:lang w:val="en-IE"/>
        </w:rPr>
        <w:t>similar but not identical</w:t>
      </w:r>
      <w:r w:rsidR="00AF6428" w:rsidRPr="0692D867">
        <w:rPr>
          <w:lang w:val="en-IE"/>
        </w:rPr>
        <w:t xml:space="preserve"> sample</w:t>
      </w:r>
      <w:r w:rsidR="00D048AE" w:rsidRPr="0692D867">
        <w:rPr>
          <w:lang w:val="en-IE"/>
        </w:rPr>
        <w:t xml:space="preserve"> of</w:t>
      </w:r>
      <w:r w:rsidR="00AF6428" w:rsidRPr="0692D867">
        <w:rPr>
          <w:lang w:val="en-IE"/>
        </w:rPr>
        <w:t xml:space="preserve"> all</w:t>
      </w:r>
      <w:r w:rsidR="00D048AE" w:rsidRPr="0692D867">
        <w:rPr>
          <w:lang w:val="en-IE"/>
        </w:rPr>
        <w:t xml:space="preserve"> tenancies </w:t>
      </w:r>
      <w:r w:rsidR="0066708B" w:rsidRPr="0692D867">
        <w:rPr>
          <w:lang w:val="en-IE"/>
        </w:rPr>
        <w:t xml:space="preserve">registered </w:t>
      </w:r>
      <w:r w:rsidR="00316E7A" w:rsidRPr="0692D867">
        <w:rPr>
          <w:lang w:val="en-IE"/>
        </w:rPr>
        <w:t>in the previous quarter and in Q1 2023.</w:t>
      </w:r>
    </w:p>
    <w:p w14:paraId="070B4141" w14:textId="77777777" w:rsidR="00D048AE" w:rsidRPr="00804B0E" w:rsidRDefault="00D048AE" w:rsidP="004E4B81">
      <w:pPr>
        <w:spacing w:after="0"/>
        <w:rPr>
          <w:lang w:val="en-IE"/>
        </w:rPr>
      </w:pPr>
    </w:p>
    <w:p w14:paraId="48E86AB1" w14:textId="654B2AC3" w:rsidR="008E15A2" w:rsidRDefault="4CB8E06E" w:rsidP="004E4B81">
      <w:pPr>
        <w:spacing w:after="0"/>
        <w:rPr>
          <w:lang w:val="en-IE"/>
        </w:rPr>
      </w:pPr>
      <w:r w:rsidRPr="4618C905">
        <w:rPr>
          <w:lang w:val="en-IE"/>
        </w:rPr>
        <w:lastRenderedPageBreak/>
        <w:t xml:space="preserve">Figures from the quarterly index inform when an area is designated as </w:t>
      </w:r>
      <w:r w:rsidR="35E0C20F" w:rsidRPr="4618C905">
        <w:rPr>
          <w:lang w:val="en-IE"/>
        </w:rPr>
        <w:t>an RPZ</w:t>
      </w:r>
      <w:r w:rsidRPr="4618C905">
        <w:rPr>
          <w:lang w:val="en-IE"/>
        </w:rPr>
        <w:t xml:space="preserve">. Carrigaline </w:t>
      </w:r>
      <w:r w:rsidR="63915FC3" w:rsidRPr="4618C905">
        <w:rPr>
          <w:lang w:val="en-IE"/>
        </w:rPr>
        <w:t xml:space="preserve">Local Electoral Area </w:t>
      </w:r>
      <w:r w:rsidRPr="4618C905">
        <w:rPr>
          <w:lang w:val="en-IE"/>
        </w:rPr>
        <w:t>in County Cork and the administrative area of Galway County have now recorded four consecutive quarters of new tenancy rent inflation above 7%</w:t>
      </w:r>
      <w:r w:rsidR="48FACF71" w:rsidRPr="4618C905">
        <w:rPr>
          <w:lang w:val="en-IE"/>
        </w:rPr>
        <w:t>. As</w:t>
      </w:r>
      <w:r w:rsidR="14BE1725" w:rsidRPr="4618C905">
        <w:rPr>
          <w:lang w:val="en-IE"/>
        </w:rPr>
        <w:t xml:space="preserve"> the rent in </w:t>
      </w:r>
      <w:r w:rsidR="2F68CC4B" w:rsidRPr="4618C905">
        <w:rPr>
          <w:lang w:val="en-IE"/>
        </w:rPr>
        <w:t>both</w:t>
      </w:r>
      <w:r w:rsidR="14BE1725" w:rsidRPr="4618C905">
        <w:rPr>
          <w:lang w:val="en-IE"/>
        </w:rPr>
        <w:t xml:space="preserve"> areas in </w:t>
      </w:r>
      <w:r w:rsidR="3186D266" w:rsidRPr="4618C905">
        <w:rPr>
          <w:lang w:val="en-IE"/>
        </w:rPr>
        <w:t>Q1 2024</w:t>
      </w:r>
      <w:r w:rsidR="14BE1725" w:rsidRPr="4618C905">
        <w:rPr>
          <w:lang w:val="en-IE"/>
        </w:rPr>
        <w:t xml:space="preserve"> was above the appropriate standardised average rent for that area</w:t>
      </w:r>
      <w:r w:rsidR="5F28291D" w:rsidRPr="4618C905">
        <w:rPr>
          <w:lang w:val="en-IE"/>
        </w:rPr>
        <w:t xml:space="preserve">, </w:t>
      </w:r>
      <w:r w:rsidRPr="4618C905">
        <w:rPr>
          <w:lang w:val="en-IE"/>
        </w:rPr>
        <w:t xml:space="preserve"> </w:t>
      </w:r>
      <w:r w:rsidR="6F639AEB" w:rsidRPr="4618C905">
        <w:rPr>
          <w:lang w:val="en-IE"/>
        </w:rPr>
        <w:t>t</w:t>
      </w:r>
      <w:r w:rsidRPr="4618C905">
        <w:rPr>
          <w:lang w:val="en-IE"/>
        </w:rPr>
        <w:t xml:space="preserve">his means they now meet the criteria to be designated as </w:t>
      </w:r>
      <w:r w:rsidR="14578C41" w:rsidRPr="4618C905">
        <w:rPr>
          <w:lang w:val="en-IE"/>
        </w:rPr>
        <w:t>an</w:t>
      </w:r>
      <w:r w:rsidRPr="4618C905">
        <w:rPr>
          <w:lang w:val="en-IE"/>
        </w:rPr>
        <w:t xml:space="preserve"> RPZ.</w:t>
      </w:r>
    </w:p>
    <w:p w14:paraId="286C93F3" w14:textId="77777777" w:rsidR="00CD4982" w:rsidRPr="00804B0E" w:rsidRDefault="00CD4982" w:rsidP="004E4B81">
      <w:pPr>
        <w:spacing w:after="0"/>
        <w:rPr>
          <w:lang w:val="en-IE"/>
        </w:rPr>
      </w:pPr>
    </w:p>
    <w:p w14:paraId="25A00B98" w14:textId="06A18BC8" w:rsidR="3469434B" w:rsidRPr="00804B0E" w:rsidRDefault="3469434B" w:rsidP="004E4B81">
      <w:pPr>
        <w:spacing w:after="0" w:line="278" w:lineRule="auto"/>
        <w:rPr>
          <w:rFonts w:ascii="Aptos" w:eastAsia="Aptos" w:hAnsi="Aptos" w:cs="Aptos"/>
          <w:color w:val="000000" w:themeColor="text1"/>
          <w:lang w:val="en-IE"/>
        </w:rPr>
      </w:pPr>
      <w:r w:rsidRPr="0692D867">
        <w:rPr>
          <w:rFonts w:ascii="Aptos" w:eastAsia="Aptos" w:hAnsi="Aptos" w:cs="Aptos"/>
          <w:color w:val="000000" w:themeColor="text1"/>
          <w:lang w:val="en-IE"/>
        </w:rPr>
        <w:t xml:space="preserve">As the </w:t>
      </w:r>
      <w:r w:rsidR="00D135C4" w:rsidRPr="0692D867">
        <w:rPr>
          <w:rFonts w:ascii="Aptos" w:eastAsia="Aptos" w:hAnsi="Aptos" w:cs="Aptos"/>
          <w:color w:val="000000" w:themeColor="text1"/>
          <w:lang w:val="en-IE"/>
        </w:rPr>
        <w:t>properties in the Rent Index sample are different in every quarter</w:t>
      </w:r>
      <w:r w:rsidR="0066708B" w:rsidRPr="0692D867">
        <w:rPr>
          <w:rFonts w:ascii="Aptos" w:eastAsia="Aptos" w:hAnsi="Aptos" w:cs="Aptos"/>
          <w:color w:val="000000" w:themeColor="text1"/>
          <w:lang w:val="en-IE"/>
        </w:rPr>
        <w:t xml:space="preserve">, it </w:t>
      </w:r>
      <w:r w:rsidRPr="0692D867">
        <w:rPr>
          <w:rFonts w:ascii="Aptos" w:eastAsia="Aptos" w:hAnsi="Aptos" w:cs="Aptos"/>
          <w:color w:val="000000" w:themeColor="text1"/>
          <w:lang w:val="en-IE"/>
        </w:rPr>
        <w:t xml:space="preserve">cannot </w:t>
      </w:r>
      <w:r w:rsidR="00D135C4" w:rsidRPr="0692D867">
        <w:rPr>
          <w:rFonts w:ascii="Aptos" w:eastAsia="Aptos" w:hAnsi="Aptos" w:cs="Aptos"/>
          <w:color w:val="000000" w:themeColor="text1"/>
          <w:lang w:val="en-IE"/>
        </w:rPr>
        <w:t>show if landlords are complying w</w:t>
      </w:r>
      <w:r w:rsidR="000527F3" w:rsidRPr="0692D867">
        <w:rPr>
          <w:rFonts w:ascii="Aptos" w:eastAsia="Aptos" w:hAnsi="Aptos" w:cs="Aptos"/>
          <w:color w:val="000000" w:themeColor="text1"/>
          <w:lang w:val="en-IE"/>
        </w:rPr>
        <w:t>ith</w:t>
      </w:r>
      <w:r w:rsidR="00603272" w:rsidRPr="0692D867">
        <w:rPr>
          <w:rFonts w:ascii="Aptos" w:eastAsia="Aptos" w:hAnsi="Aptos" w:cs="Aptos"/>
          <w:color w:val="000000" w:themeColor="text1"/>
          <w:lang w:val="en-IE"/>
        </w:rPr>
        <w:t xml:space="preserve"> RPZ rules</w:t>
      </w:r>
      <w:r w:rsidR="0066708B" w:rsidRPr="0692D867">
        <w:rPr>
          <w:rFonts w:ascii="Aptos" w:eastAsia="Aptos" w:hAnsi="Aptos" w:cs="Aptos"/>
          <w:color w:val="000000" w:themeColor="text1"/>
          <w:lang w:val="en-IE"/>
        </w:rPr>
        <w:t>.</w:t>
      </w:r>
      <w:r w:rsidR="000527F3" w:rsidRPr="0692D867">
        <w:rPr>
          <w:rFonts w:ascii="Aptos" w:eastAsia="Aptos" w:hAnsi="Aptos" w:cs="Aptos"/>
          <w:color w:val="000000" w:themeColor="text1"/>
          <w:lang w:val="en-IE"/>
        </w:rPr>
        <w:t xml:space="preserve"> </w:t>
      </w:r>
      <w:r w:rsidR="00D135C4" w:rsidRPr="0692D867">
        <w:rPr>
          <w:rFonts w:ascii="Aptos" w:eastAsia="Aptos" w:hAnsi="Aptos" w:cs="Aptos"/>
          <w:color w:val="000000" w:themeColor="text1"/>
          <w:lang w:val="en-IE"/>
        </w:rPr>
        <w:t>To address this, t</w:t>
      </w:r>
      <w:r w:rsidR="0066708B" w:rsidRPr="0692D867">
        <w:rPr>
          <w:rFonts w:ascii="Aptos" w:eastAsia="Aptos" w:hAnsi="Aptos" w:cs="Aptos"/>
          <w:color w:val="000000" w:themeColor="text1"/>
          <w:lang w:val="en-IE"/>
        </w:rPr>
        <w:t xml:space="preserve">he RTB </w:t>
      </w:r>
      <w:r w:rsidR="00D135C4" w:rsidRPr="0692D867">
        <w:rPr>
          <w:rFonts w:ascii="Aptos" w:eastAsia="Aptos" w:hAnsi="Aptos" w:cs="Aptos"/>
          <w:color w:val="000000" w:themeColor="text1"/>
          <w:lang w:val="en-IE"/>
        </w:rPr>
        <w:t>asked</w:t>
      </w:r>
      <w:r w:rsidR="0066708B" w:rsidRPr="0692D867">
        <w:rPr>
          <w:rFonts w:ascii="Aptos" w:eastAsia="Aptos" w:hAnsi="Aptos" w:cs="Aptos"/>
          <w:color w:val="000000" w:themeColor="text1"/>
          <w:lang w:val="en-IE"/>
        </w:rPr>
        <w:t xml:space="preserve"> the ESRI to conduct an additional ‘Individual Property Level Analysis’</w:t>
      </w:r>
      <w:r w:rsidR="00D135C4" w:rsidRPr="0692D867">
        <w:rPr>
          <w:rFonts w:ascii="Aptos" w:eastAsia="Aptos" w:hAnsi="Aptos" w:cs="Aptos"/>
          <w:color w:val="000000" w:themeColor="text1"/>
          <w:lang w:val="en-IE"/>
        </w:rPr>
        <w:t xml:space="preserve"> to</w:t>
      </w:r>
      <w:r w:rsidR="00316E7A" w:rsidRPr="0692D867">
        <w:rPr>
          <w:rFonts w:ascii="Aptos" w:eastAsia="Aptos" w:hAnsi="Aptos" w:cs="Aptos"/>
          <w:color w:val="000000" w:themeColor="text1"/>
          <w:lang w:val="en-IE"/>
        </w:rPr>
        <w:t xml:space="preserve"> track</w:t>
      </w:r>
      <w:r w:rsidR="00D135C4" w:rsidRPr="0692D867">
        <w:rPr>
          <w:rFonts w:ascii="Aptos" w:eastAsia="Aptos" w:hAnsi="Aptos" w:cs="Aptos"/>
          <w:color w:val="000000" w:themeColor="text1"/>
          <w:lang w:val="en-IE"/>
        </w:rPr>
        <w:t xml:space="preserve"> changes in rent for</w:t>
      </w:r>
      <w:r w:rsidR="00316E7A" w:rsidRPr="0692D867">
        <w:rPr>
          <w:rFonts w:ascii="Aptos" w:eastAsia="Aptos" w:hAnsi="Aptos" w:cs="Aptos"/>
          <w:color w:val="000000" w:themeColor="text1"/>
          <w:lang w:val="en-IE"/>
        </w:rPr>
        <w:t xml:space="preserve"> the same</w:t>
      </w:r>
      <w:r w:rsidR="00570532" w:rsidRPr="0692D867">
        <w:rPr>
          <w:rFonts w:ascii="Aptos" w:eastAsia="Aptos" w:hAnsi="Aptos" w:cs="Aptos"/>
          <w:color w:val="000000" w:themeColor="text1"/>
          <w:lang w:val="en-IE"/>
        </w:rPr>
        <w:t xml:space="preserve"> individual properties</w:t>
      </w:r>
      <w:r w:rsidR="00603272" w:rsidRPr="0692D867">
        <w:rPr>
          <w:rFonts w:ascii="Aptos" w:eastAsia="Aptos" w:hAnsi="Aptos" w:cs="Aptos"/>
          <w:color w:val="000000" w:themeColor="text1"/>
          <w:lang w:val="en-IE"/>
        </w:rPr>
        <w:t xml:space="preserve"> over time</w:t>
      </w:r>
      <w:r w:rsidR="0066708B" w:rsidRPr="0692D867">
        <w:rPr>
          <w:rFonts w:ascii="Aptos" w:eastAsia="Aptos" w:hAnsi="Aptos" w:cs="Aptos"/>
          <w:color w:val="000000" w:themeColor="text1"/>
          <w:lang w:val="en-IE"/>
        </w:rPr>
        <w:t xml:space="preserve">. The preliminary findings </w:t>
      </w:r>
      <w:r w:rsidR="001E6D6D" w:rsidRPr="0692D867">
        <w:rPr>
          <w:rFonts w:ascii="Aptos" w:eastAsia="Aptos" w:hAnsi="Aptos" w:cs="Aptos"/>
          <w:color w:val="000000" w:themeColor="text1"/>
          <w:lang w:val="en-IE"/>
        </w:rPr>
        <w:t xml:space="preserve">shared today </w:t>
      </w:r>
      <w:r w:rsidR="2F95677C" w:rsidRPr="0692D867">
        <w:rPr>
          <w:rFonts w:ascii="Aptos" w:eastAsia="Aptos" w:hAnsi="Aptos" w:cs="Aptos"/>
          <w:color w:val="000000" w:themeColor="text1"/>
          <w:lang w:val="en-IE"/>
        </w:rPr>
        <w:t>show that</w:t>
      </w:r>
      <w:r w:rsidR="033A5FFF" w:rsidRPr="0692D867">
        <w:rPr>
          <w:rFonts w:ascii="Aptos" w:eastAsia="Aptos" w:hAnsi="Aptos" w:cs="Aptos"/>
          <w:color w:val="000000" w:themeColor="text1"/>
          <w:lang w:val="en-IE"/>
        </w:rPr>
        <w:t xml:space="preserve"> nationally, </w:t>
      </w:r>
      <w:r w:rsidR="2F95677C" w:rsidRPr="0692D867">
        <w:rPr>
          <w:rFonts w:ascii="Aptos" w:eastAsia="Aptos" w:hAnsi="Aptos" w:cs="Aptos"/>
          <w:color w:val="000000" w:themeColor="text1"/>
          <w:lang w:val="en-IE"/>
        </w:rPr>
        <w:t xml:space="preserve"> </w:t>
      </w:r>
      <w:r w:rsidR="26A49172" w:rsidRPr="0692D867">
        <w:rPr>
          <w:rFonts w:ascii="Aptos" w:eastAsia="Aptos" w:hAnsi="Aptos" w:cs="Aptos"/>
          <w:color w:val="000000" w:themeColor="text1"/>
          <w:lang w:val="en-IE"/>
        </w:rPr>
        <w:t>74</w:t>
      </w:r>
      <w:r w:rsidR="2F95677C" w:rsidRPr="0692D867">
        <w:rPr>
          <w:rFonts w:ascii="Aptos" w:eastAsia="Aptos" w:hAnsi="Aptos" w:cs="Aptos"/>
          <w:color w:val="000000" w:themeColor="text1"/>
          <w:lang w:val="en-IE"/>
        </w:rPr>
        <w:t>% of sitting tenants</w:t>
      </w:r>
      <w:r w:rsidR="2A101CE8" w:rsidRPr="0692D867">
        <w:rPr>
          <w:rFonts w:ascii="Aptos" w:eastAsia="Aptos" w:hAnsi="Aptos" w:cs="Aptos"/>
          <w:color w:val="000000" w:themeColor="text1"/>
          <w:lang w:val="en-IE"/>
        </w:rPr>
        <w:t xml:space="preserve"> tracked between Q2 2022 and Q1 2024</w:t>
      </w:r>
      <w:r w:rsidR="2F95677C" w:rsidRPr="0692D867">
        <w:rPr>
          <w:rFonts w:ascii="Aptos" w:eastAsia="Aptos" w:hAnsi="Aptos" w:cs="Aptos"/>
          <w:color w:val="000000" w:themeColor="text1"/>
          <w:lang w:val="en-IE"/>
        </w:rPr>
        <w:t xml:space="preserve"> experienced </w:t>
      </w:r>
      <w:r w:rsidR="10F14204" w:rsidRPr="0692D867">
        <w:rPr>
          <w:rFonts w:ascii="Aptos" w:eastAsia="Aptos" w:hAnsi="Aptos" w:cs="Aptos"/>
          <w:color w:val="000000" w:themeColor="text1"/>
          <w:lang w:val="en-IE"/>
        </w:rPr>
        <w:t xml:space="preserve">an annual </w:t>
      </w:r>
      <w:r w:rsidR="2F95677C" w:rsidRPr="0692D867">
        <w:rPr>
          <w:rFonts w:ascii="Aptos" w:eastAsia="Aptos" w:hAnsi="Aptos" w:cs="Aptos"/>
          <w:color w:val="000000" w:themeColor="text1"/>
          <w:lang w:val="en-IE"/>
        </w:rPr>
        <w:t>rent increase of 2% or less</w:t>
      </w:r>
      <w:r w:rsidR="0066708B" w:rsidRPr="0692D867">
        <w:rPr>
          <w:rFonts w:ascii="Aptos" w:eastAsia="Aptos" w:hAnsi="Aptos" w:cs="Aptos"/>
          <w:color w:val="000000" w:themeColor="text1"/>
          <w:lang w:val="en-IE"/>
        </w:rPr>
        <w:t>, within RPZ limits</w:t>
      </w:r>
      <w:r w:rsidR="2F95677C" w:rsidRPr="0692D867">
        <w:rPr>
          <w:rFonts w:ascii="Aptos" w:eastAsia="Aptos" w:hAnsi="Aptos" w:cs="Aptos"/>
          <w:color w:val="000000" w:themeColor="text1"/>
          <w:lang w:val="en-IE"/>
        </w:rPr>
        <w:t>.</w:t>
      </w:r>
      <w:r w:rsidR="00603272" w:rsidRPr="0692D867">
        <w:rPr>
          <w:rFonts w:ascii="Aptos" w:eastAsia="Aptos" w:hAnsi="Aptos" w:cs="Aptos"/>
          <w:color w:val="000000" w:themeColor="text1"/>
          <w:lang w:val="en-IE"/>
        </w:rPr>
        <w:t xml:space="preserve"> The full </w:t>
      </w:r>
      <w:r w:rsidR="001E6D6D" w:rsidRPr="0692D867">
        <w:rPr>
          <w:rFonts w:ascii="Aptos" w:eastAsia="Aptos" w:hAnsi="Aptos" w:cs="Aptos"/>
          <w:color w:val="000000" w:themeColor="text1"/>
          <w:lang w:val="en-IE"/>
        </w:rPr>
        <w:t xml:space="preserve">peer-reviewed </w:t>
      </w:r>
      <w:r w:rsidR="00603272" w:rsidRPr="0692D867">
        <w:rPr>
          <w:rFonts w:ascii="Aptos" w:eastAsia="Aptos" w:hAnsi="Aptos" w:cs="Aptos"/>
          <w:color w:val="000000" w:themeColor="text1"/>
          <w:lang w:val="en-IE"/>
        </w:rPr>
        <w:t>report will be published later this year</w:t>
      </w:r>
      <w:r w:rsidR="00A310F2" w:rsidRPr="0692D867">
        <w:rPr>
          <w:rFonts w:ascii="Aptos" w:eastAsia="Aptos" w:hAnsi="Aptos" w:cs="Aptos"/>
          <w:color w:val="000000" w:themeColor="text1"/>
          <w:lang w:val="en-IE"/>
        </w:rPr>
        <w:t>.</w:t>
      </w:r>
    </w:p>
    <w:p w14:paraId="6DEC38EF" w14:textId="2AE8AA89" w:rsidR="1CB9AD66" w:rsidRPr="00804B0E" w:rsidRDefault="1CB9AD66" w:rsidP="004E4B81">
      <w:pPr>
        <w:spacing w:after="0" w:line="278" w:lineRule="auto"/>
        <w:rPr>
          <w:rFonts w:ascii="Aptos" w:eastAsia="Aptos" w:hAnsi="Aptos" w:cs="Aptos"/>
          <w:color w:val="000000" w:themeColor="text1"/>
          <w:lang w:val="en-IE"/>
        </w:rPr>
      </w:pPr>
    </w:p>
    <w:p w14:paraId="5DA4062F" w14:textId="2677012B" w:rsidR="0463A1C1" w:rsidRPr="00804B0E" w:rsidRDefault="0463A1C1" w:rsidP="004E4B81">
      <w:pPr>
        <w:spacing w:after="0"/>
        <w:rPr>
          <w:lang w:val="en-IE"/>
        </w:rPr>
      </w:pPr>
      <w:r w:rsidRPr="0692D867">
        <w:rPr>
          <w:lang w:val="en-IE"/>
        </w:rPr>
        <w:t>Speaking on the release</w:t>
      </w:r>
      <w:r w:rsidR="102353DA" w:rsidRPr="0692D867">
        <w:rPr>
          <w:lang w:val="en-IE"/>
        </w:rPr>
        <w:t xml:space="preserve"> of the </w:t>
      </w:r>
      <w:r w:rsidR="3FBC45D8" w:rsidRPr="0692D867">
        <w:rPr>
          <w:lang w:val="en-IE"/>
        </w:rPr>
        <w:t>Rent Index figures</w:t>
      </w:r>
      <w:r w:rsidR="008C522E" w:rsidRPr="0692D867">
        <w:rPr>
          <w:lang w:val="en-IE"/>
        </w:rPr>
        <w:t xml:space="preserve"> and preliminary results of the Individual Property Level Analysis</w:t>
      </w:r>
      <w:r w:rsidRPr="0692D867">
        <w:rPr>
          <w:lang w:val="en-IE"/>
        </w:rPr>
        <w:t xml:space="preserve">, </w:t>
      </w:r>
      <w:r w:rsidR="7CBF45C0" w:rsidRPr="0692D867">
        <w:rPr>
          <w:lang w:val="en-IE"/>
        </w:rPr>
        <w:t xml:space="preserve">Rosemary Steen, Director of the RTB said: </w:t>
      </w:r>
    </w:p>
    <w:p w14:paraId="229F74F2" w14:textId="5B018EAB" w:rsidR="0692D867" w:rsidRDefault="0692D867" w:rsidP="0692D867">
      <w:pPr>
        <w:spacing w:after="0"/>
        <w:rPr>
          <w:lang w:val="en-IE"/>
        </w:rPr>
      </w:pPr>
    </w:p>
    <w:p w14:paraId="0E6E2103" w14:textId="08DBDC06" w:rsidR="3C15A020" w:rsidRDefault="3C15A020" w:rsidP="07881EF7">
      <w:pPr>
        <w:spacing w:after="0"/>
        <w:rPr>
          <w:rFonts w:ascii="Aptos" w:eastAsia="Aptos" w:hAnsi="Aptos" w:cs="Aptos"/>
        </w:rPr>
      </w:pPr>
      <w:r w:rsidRPr="4618C905">
        <w:rPr>
          <w:lang w:val="en-IE"/>
        </w:rPr>
        <w:t>“</w:t>
      </w:r>
      <w:r w:rsidR="083EFC08" w:rsidRPr="4618C905">
        <w:rPr>
          <w:lang w:val="en-IE"/>
        </w:rPr>
        <w:t xml:space="preserve">The RTB is the public body responsible for providing reliable data on Ireland’s rental sector. </w:t>
      </w:r>
      <w:r w:rsidR="5F1803D0" w:rsidRPr="4618C905">
        <w:rPr>
          <w:lang w:val="en-IE"/>
        </w:rPr>
        <w:t xml:space="preserve">We </w:t>
      </w:r>
      <w:r w:rsidR="7551CDFD" w:rsidRPr="4618C905">
        <w:rPr>
          <w:lang w:val="en-IE"/>
        </w:rPr>
        <w:t>welcom</w:t>
      </w:r>
      <w:r w:rsidR="5F1803D0" w:rsidRPr="4618C905">
        <w:rPr>
          <w:lang w:val="en-IE"/>
        </w:rPr>
        <w:t>e the latest</w:t>
      </w:r>
      <w:r w:rsidR="0847A987" w:rsidRPr="4618C905">
        <w:rPr>
          <w:lang w:val="en-IE"/>
        </w:rPr>
        <w:t xml:space="preserve"> </w:t>
      </w:r>
      <w:r w:rsidR="22296058" w:rsidRPr="4618C905">
        <w:rPr>
          <w:lang w:val="en-IE"/>
        </w:rPr>
        <w:t>R</w:t>
      </w:r>
      <w:r w:rsidR="0847A987" w:rsidRPr="4618C905">
        <w:rPr>
          <w:lang w:val="en-IE"/>
        </w:rPr>
        <w:t>ent</w:t>
      </w:r>
      <w:r w:rsidR="5F1803D0" w:rsidRPr="4618C905">
        <w:rPr>
          <w:lang w:val="en-IE"/>
        </w:rPr>
        <w:t xml:space="preserve"> </w:t>
      </w:r>
      <w:r w:rsidR="5EABD8BF" w:rsidRPr="4618C905">
        <w:rPr>
          <w:lang w:val="en-IE"/>
        </w:rPr>
        <w:t>I</w:t>
      </w:r>
      <w:r w:rsidR="5F1803D0" w:rsidRPr="4618C905">
        <w:rPr>
          <w:lang w:val="en-IE"/>
        </w:rPr>
        <w:t xml:space="preserve">ndex </w:t>
      </w:r>
      <w:r w:rsidR="07F1D611" w:rsidRPr="4618C905">
        <w:rPr>
          <w:lang w:val="en-IE"/>
        </w:rPr>
        <w:t>R</w:t>
      </w:r>
      <w:r w:rsidR="0C5C498A" w:rsidRPr="4618C905">
        <w:rPr>
          <w:lang w:val="en-IE"/>
        </w:rPr>
        <w:t>eport</w:t>
      </w:r>
      <w:r w:rsidR="0C0BAF28" w:rsidRPr="4618C905">
        <w:rPr>
          <w:lang w:val="en-IE"/>
        </w:rPr>
        <w:t xml:space="preserve"> developed in partnership with the ESRI</w:t>
      </w:r>
      <w:r w:rsidR="02DC61C9" w:rsidRPr="4618C905">
        <w:rPr>
          <w:lang w:val="en-IE"/>
        </w:rPr>
        <w:t xml:space="preserve"> </w:t>
      </w:r>
      <w:r w:rsidR="6BFED513" w:rsidRPr="4618C905">
        <w:rPr>
          <w:lang w:val="en-IE"/>
        </w:rPr>
        <w:t>and the</w:t>
      </w:r>
      <w:r w:rsidR="57BA39EC" w:rsidRPr="4618C905">
        <w:rPr>
          <w:lang w:val="en-IE"/>
        </w:rPr>
        <w:t xml:space="preserve"> preliminary findings from</w:t>
      </w:r>
      <w:r w:rsidR="02DC61C9" w:rsidRPr="4618C905">
        <w:rPr>
          <w:lang w:val="en-IE"/>
        </w:rPr>
        <w:t xml:space="preserve"> </w:t>
      </w:r>
      <w:r w:rsidR="0ACBF7C0" w:rsidRPr="4618C905">
        <w:rPr>
          <w:lang w:val="en-IE"/>
        </w:rPr>
        <w:t>the</w:t>
      </w:r>
      <w:r w:rsidR="02DC61C9" w:rsidRPr="4618C905">
        <w:rPr>
          <w:lang w:val="en-IE"/>
        </w:rPr>
        <w:t xml:space="preserve"> </w:t>
      </w:r>
      <w:r w:rsidR="2471D6CC" w:rsidRPr="4618C905">
        <w:rPr>
          <w:lang w:val="en-IE"/>
        </w:rPr>
        <w:t xml:space="preserve">new </w:t>
      </w:r>
      <w:r w:rsidR="02DC61C9" w:rsidRPr="4618C905">
        <w:rPr>
          <w:lang w:val="en-IE"/>
        </w:rPr>
        <w:t xml:space="preserve">Individual Property </w:t>
      </w:r>
      <w:r w:rsidR="361B6B4A" w:rsidRPr="4618C905">
        <w:rPr>
          <w:lang w:val="en-IE"/>
        </w:rPr>
        <w:t>Level Analys</w:t>
      </w:r>
      <w:r w:rsidR="26F23784" w:rsidRPr="4618C905">
        <w:rPr>
          <w:lang w:val="en-IE"/>
        </w:rPr>
        <w:t>is</w:t>
      </w:r>
      <w:r w:rsidR="553F56A7" w:rsidRPr="4618C905">
        <w:rPr>
          <w:lang w:val="en-IE"/>
        </w:rPr>
        <w:t>. O</w:t>
      </w:r>
      <w:r w:rsidR="26F23784" w:rsidRPr="4618C905">
        <w:rPr>
          <w:lang w:val="en-IE"/>
        </w:rPr>
        <w:t>ur Board will review</w:t>
      </w:r>
      <w:r w:rsidR="090AE466" w:rsidRPr="4618C905">
        <w:rPr>
          <w:lang w:val="en-IE"/>
        </w:rPr>
        <w:t xml:space="preserve"> this data</w:t>
      </w:r>
      <w:r w:rsidR="26F23784" w:rsidRPr="4618C905">
        <w:rPr>
          <w:lang w:val="en-IE"/>
        </w:rPr>
        <w:t xml:space="preserve"> in detail </w:t>
      </w:r>
      <w:r w:rsidR="363C9C91" w:rsidRPr="4618C905">
        <w:rPr>
          <w:lang w:val="en-IE"/>
        </w:rPr>
        <w:t>to guide our planning for 2025.</w:t>
      </w:r>
      <w:r w:rsidR="73FF9347" w:rsidRPr="4618C905">
        <w:rPr>
          <w:lang w:val="en-IE"/>
        </w:rPr>
        <w:t>”</w:t>
      </w:r>
      <w:r w:rsidR="44576DAD" w:rsidRPr="4618C905">
        <w:rPr>
          <w:lang w:val="en-IE"/>
        </w:rPr>
        <w:t xml:space="preserve"> </w:t>
      </w:r>
    </w:p>
    <w:p w14:paraId="6815A428" w14:textId="2C14C5C6" w:rsidR="07881EF7" w:rsidRDefault="07881EF7" w:rsidP="07881EF7">
      <w:pPr>
        <w:spacing w:after="0"/>
        <w:rPr>
          <w:rFonts w:ascii="Aptos" w:eastAsia="Aptos" w:hAnsi="Aptos" w:cs="Aptos"/>
        </w:rPr>
      </w:pPr>
    </w:p>
    <w:p w14:paraId="1E675BDF" w14:textId="37C6FF98" w:rsidR="44576DAD" w:rsidRDefault="44576DAD" w:rsidP="07881EF7">
      <w:pPr>
        <w:spacing w:after="0"/>
        <w:rPr>
          <w:rFonts w:ascii="Aptos" w:eastAsia="Aptos" w:hAnsi="Aptos" w:cs="Aptos"/>
        </w:rPr>
      </w:pPr>
      <w:r w:rsidRPr="4618C905">
        <w:rPr>
          <w:rFonts w:ascii="Aptos" w:eastAsia="Aptos" w:hAnsi="Aptos" w:cs="Aptos"/>
        </w:rPr>
        <w:t>“</w:t>
      </w:r>
      <w:r w:rsidR="00EAAC9D" w:rsidRPr="4618C905">
        <w:rPr>
          <w:rFonts w:ascii="Aptos" w:eastAsia="Aptos" w:hAnsi="Aptos" w:cs="Aptos"/>
        </w:rPr>
        <w:t>For the first time, t</w:t>
      </w:r>
      <w:r w:rsidR="6504D2DC" w:rsidRPr="4618C905">
        <w:rPr>
          <w:rFonts w:ascii="Aptos" w:eastAsia="Aptos" w:hAnsi="Aptos" w:cs="Aptos"/>
        </w:rPr>
        <w:t xml:space="preserve">he Individual Property Level Analysis gives us data on landlords who may </w:t>
      </w:r>
      <w:r w:rsidR="4FEEE4BC" w:rsidRPr="4618C905">
        <w:rPr>
          <w:rFonts w:ascii="Aptos" w:eastAsia="Aptos" w:hAnsi="Aptos" w:cs="Aptos"/>
        </w:rPr>
        <w:t>have breached RPZ rules</w:t>
      </w:r>
      <w:r w:rsidR="6504D2DC" w:rsidRPr="4618C905">
        <w:rPr>
          <w:rFonts w:ascii="Aptos" w:eastAsia="Aptos" w:hAnsi="Aptos" w:cs="Aptos"/>
        </w:rPr>
        <w:t>. W</w:t>
      </w:r>
      <w:r w:rsidR="0E4A351A" w:rsidRPr="4618C905">
        <w:rPr>
          <w:rFonts w:ascii="Aptos" w:eastAsia="Aptos" w:hAnsi="Aptos" w:cs="Aptos"/>
        </w:rPr>
        <w:t>e</w:t>
      </w:r>
      <w:r w:rsidR="10487BFF" w:rsidRPr="4618C905">
        <w:rPr>
          <w:rFonts w:ascii="Aptos" w:eastAsia="Aptos" w:hAnsi="Aptos" w:cs="Aptos"/>
        </w:rPr>
        <w:t xml:space="preserve"> will be communicating with these landlords </w:t>
      </w:r>
      <w:r w:rsidR="2DF2B08C" w:rsidRPr="4618C905">
        <w:rPr>
          <w:rFonts w:ascii="Aptos" w:eastAsia="Aptos" w:hAnsi="Aptos" w:cs="Aptos"/>
        </w:rPr>
        <w:t xml:space="preserve">as a priority </w:t>
      </w:r>
      <w:r w:rsidR="10487BFF" w:rsidRPr="4618C905">
        <w:rPr>
          <w:rFonts w:ascii="Aptos" w:eastAsia="Aptos" w:hAnsi="Aptos" w:cs="Aptos"/>
        </w:rPr>
        <w:t>to bring them back into compliance</w:t>
      </w:r>
      <w:r w:rsidR="4B86EA00" w:rsidRPr="4618C905">
        <w:rPr>
          <w:rFonts w:ascii="Aptos" w:eastAsia="Aptos" w:hAnsi="Aptos" w:cs="Aptos"/>
        </w:rPr>
        <w:t>. W</w:t>
      </w:r>
      <w:r w:rsidR="10487BFF" w:rsidRPr="4618C905">
        <w:rPr>
          <w:rFonts w:ascii="Aptos" w:eastAsia="Aptos" w:hAnsi="Aptos" w:cs="Aptos"/>
        </w:rPr>
        <w:t>here there is deliberate and ongoing non-compliance, we will be using our full powers to investigate and sanction non-compliant landlords.</w:t>
      </w:r>
      <w:r w:rsidR="07DB59D1" w:rsidRPr="4618C905">
        <w:rPr>
          <w:rFonts w:ascii="Aptos" w:eastAsia="Aptos" w:hAnsi="Aptos" w:cs="Aptos"/>
        </w:rPr>
        <w:t>”</w:t>
      </w:r>
    </w:p>
    <w:p w14:paraId="43067B99" w14:textId="643D1D44" w:rsidR="5CD657E2" w:rsidRDefault="5CD657E2" w:rsidP="5CD657E2">
      <w:pPr>
        <w:spacing w:after="0"/>
        <w:rPr>
          <w:lang w:val="en-IE"/>
        </w:rPr>
      </w:pPr>
    </w:p>
    <w:p w14:paraId="3A81B313" w14:textId="11EBD8F5" w:rsidR="74EA27AA" w:rsidRDefault="74EA27AA" w:rsidP="5CD657E2">
      <w:pPr>
        <w:spacing w:after="0"/>
        <w:rPr>
          <w:lang w:val="en-IE"/>
        </w:rPr>
      </w:pPr>
      <w:r w:rsidRPr="5CD657E2">
        <w:rPr>
          <w:lang w:val="en-IE"/>
        </w:rPr>
        <w:t>Brian Gallwey, Senior Research Officer with the RTB said:</w:t>
      </w:r>
    </w:p>
    <w:p w14:paraId="01969443" w14:textId="06DCAC66" w:rsidR="74EA27AA" w:rsidRDefault="74EA27AA" w:rsidP="5CD657E2">
      <w:pPr>
        <w:spacing w:after="0"/>
        <w:rPr>
          <w:lang w:val="en-IE"/>
        </w:rPr>
      </w:pPr>
      <w:r w:rsidRPr="5CD657E2">
        <w:rPr>
          <w:lang w:val="en-IE"/>
        </w:rPr>
        <w:t>“</w:t>
      </w:r>
      <w:r w:rsidR="6F7CE7D3" w:rsidRPr="5CD657E2">
        <w:rPr>
          <w:lang w:val="en-IE"/>
        </w:rPr>
        <w:t>The RTB’s</w:t>
      </w:r>
      <w:r w:rsidRPr="5CD657E2">
        <w:rPr>
          <w:lang w:val="en-IE"/>
        </w:rPr>
        <w:t xml:space="preserve"> quarterly Rent Index is the most comprehensive and accurate source of data on rent levels in Ireland’s private rental sector.</w:t>
      </w:r>
      <w:r w:rsidR="72A08291" w:rsidRPr="5CD657E2">
        <w:rPr>
          <w:lang w:val="en-IE"/>
        </w:rPr>
        <w:t xml:space="preserve"> By using RTB registration data to track changes in rent on a quarterly basis, we can see that although </w:t>
      </w:r>
      <w:r w:rsidR="2594943E" w:rsidRPr="5CD657E2">
        <w:rPr>
          <w:lang w:val="en-IE"/>
        </w:rPr>
        <w:t>rent levels</w:t>
      </w:r>
      <w:r w:rsidR="5938D337" w:rsidRPr="5CD657E2">
        <w:rPr>
          <w:lang w:val="en-IE"/>
        </w:rPr>
        <w:t xml:space="preserve"> for new tenancies</w:t>
      </w:r>
      <w:r w:rsidR="2594943E" w:rsidRPr="5CD657E2">
        <w:rPr>
          <w:lang w:val="en-IE"/>
        </w:rPr>
        <w:t xml:space="preserve"> continued to increase nationally by 8.1%</w:t>
      </w:r>
      <w:r w:rsidR="25E321C4" w:rsidRPr="5CD657E2">
        <w:rPr>
          <w:lang w:val="en-IE"/>
        </w:rPr>
        <w:t xml:space="preserve"> in Q1 2024</w:t>
      </w:r>
      <w:r w:rsidR="116F43E4" w:rsidRPr="5CD657E2">
        <w:rPr>
          <w:lang w:val="en-IE"/>
        </w:rPr>
        <w:t xml:space="preserve">, this has moderated from a high of 11.3% seen in Q2 2023, and it is also down from the 9.1% </w:t>
      </w:r>
      <w:r w:rsidR="67E29CBB" w:rsidRPr="5CD657E2">
        <w:rPr>
          <w:lang w:val="en-IE"/>
        </w:rPr>
        <w:t xml:space="preserve">observed </w:t>
      </w:r>
      <w:r w:rsidR="116F43E4" w:rsidRPr="5CD657E2">
        <w:rPr>
          <w:lang w:val="en-IE"/>
        </w:rPr>
        <w:t>in</w:t>
      </w:r>
      <w:r w:rsidR="1AFA7537" w:rsidRPr="5CD657E2">
        <w:rPr>
          <w:lang w:val="en-IE"/>
        </w:rPr>
        <w:t xml:space="preserve"> Q4 202</w:t>
      </w:r>
      <w:r w:rsidR="6E4BE338" w:rsidRPr="5CD657E2">
        <w:rPr>
          <w:lang w:val="en-IE"/>
        </w:rPr>
        <w:t>3</w:t>
      </w:r>
      <w:r w:rsidR="1AFA7537" w:rsidRPr="5CD657E2">
        <w:rPr>
          <w:lang w:val="en-IE"/>
        </w:rPr>
        <w:t>.”</w:t>
      </w:r>
    </w:p>
    <w:p w14:paraId="0FE6425F" w14:textId="726E366F" w:rsidR="5CD657E2" w:rsidRDefault="5CD657E2" w:rsidP="5CD657E2">
      <w:pPr>
        <w:spacing w:after="0"/>
        <w:rPr>
          <w:lang w:val="en-IE"/>
        </w:rPr>
      </w:pPr>
    </w:p>
    <w:p w14:paraId="64B8D8B5" w14:textId="305EE08C" w:rsidR="261A3283" w:rsidRDefault="261A3283" w:rsidP="5CD657E2">
      <w:pPr>
        <w:spacing w:after="0"/>
        <w:rPr>
          <w:lang w:val="en-IE"/>
        </w:rPr>
      </w:pPr>
      <w:r w:rsidRPr="5CD657E2">
        <w:rPr>
          <w:lang w:val="en-IE"/>
        </w:rPr>
        <w:t xml:space="preserve">Rachel Slaymaker, Research Officer </w:t>
      </w:r>
      <w:r w:rsidR="643EB213" w:rsidRPr="5CD657E2">
        <w:rPr>
          <w:lang w:val="en-IE"/>
        </w:rPr>
        <w:t>with</w:t>
      </w:r>
      <w:r w:rsidRPr="5CD657E2">
        <w:rPr>
          <w:lang w:val="en-IE"/>
        </w:rPr>
        <w:t xml:space="preserve"> the ESRI said:</w:t>
      </w:r>
    </w:p>
    <w:p w14:paraId="58160EC0" w14:textId="53804032" w:rsidR="00316E7A" w:rsidRPr="00804B0E" w:rsidRDefault="00603272" w:rsidP="0692D867">
      <w:pPr>
        <w:spacing w:after="0"/>
        <w:rPr>
          <w:lang w:val="en-IE"/>
        </w:rPr>
      </w:pPr>
      <w:r w:rsidRPr="0692D867">
        <w:rPr>
          <w:lang w:val="en-IE"/>
        </w:rPr>
        <w:t>“We are pleased to complement th</w:t>
      </w:r>
      <w:r w:rsidR="00B97E93" w:rsidRPr="0692D867">
        <w:rPr>
          <w:lang w:val="en-IE"/>
        </w:rPr>
        <w:t>e Rent Index</w:t>
      </w:r>
      <w:r w:rsidRPr="0692D867">
        <w:rPr>
          <w:lang w:val="en-IE"/>
        </w:rPr>
        <w:t xml:space="preserve"> data </w:t>
      </w:r>
      <w:r w:rsidR="58E33357" w:rsidRPr="0692D867">
        <w:rPr>
          <w:lang w:val="en-IE"/>
        </w:rPr>
        <w:t>by sharing</w:t>
      </w:r>
      <w:r w:rsidRPr="0692D867">
        <w:rPr>
          <w:lang w:val="en-IE"/>
        </w:rPr>
        <w:t xml:space="preserve"> </w:t>
      </w:r>
      <w:r w:rsidR="39E28D07" w:rsidRPr="0692D867">
        <w:rPr>
          <w:lang w:val="en-IE"/>
        </w:rPr>
        <w:t xml:space="preserve">some </w:t>
      </w:r>
      <w:r w:rsidR="00B97E93" w:rsidRPr="0692D867">
        <w:rPr>
          <w:lang w:val="en-IE"/>
        </w:rPr>
        <w:t>p</w:t>
      </w:r>
      <w:r w:rsidRPr="0692D867">
        <w:rPr>
          <w:lang w:val="en-IE"/>
        </w:rPr>
        <w:t xml:space="preserve">reliminary findings from </w:t>
      </w:r>
      <w:r w:rsidR="6D1C5B0A" w:rsidRPr="0692D867">
        <w:rPr>
          <w:lang w:val="en-IE"/>
        </w:rPr>
        <w:t xml:space="preserve">a </w:t>
      </w:r>
      <w:r w:rsidR="2E10E8E3" w:rsidRPr="0692D867">
        <w:rPr>
          <w:lang w:val="en-IE"/>
        </w:rPr>
        <w:t>separate</w:t>
      </w:r>
      <w:r w:rsidRPr="0692D867">
        <w:rPr>
          <w:lang w:val="en-IE"/>
        </w:rPr>
        <w:t xml:space="preserve"> ‘Ind</w:t>
      </w:r>
      <w:r w:rsidR="00B97E93" w:rsidRPr="0692D867">
        <w:rPr>
          <w:lang w:val="en-IE"/>
        </w:rPr>
        <w:t>i</w:t>
      </w:r>
      <w:r w:rsidRPr="0692D867">
        <w:rPr>
          <w:lang w:val="en-IE"/>
        </w:rPr>
        <w:t xml:space="preserve">vidual Property </w:t>
      </w:r>
      <w:r w:rsidR="00061814" w:rsidRPr="0692D867">
        <w:rPr>
          <w:lang w:val="en-IE"/>
        </w:rPr>
        <w:t xml:space="preserve">Level </w:t>
      </w:r>
      <w:r w:rsidRPr="0692D867">
        <w:rPr>
          <w:lang w:val="en-IE"/>
        </w:rPr>
        <w:t>Analysis</w:t>
      </w:r>
      <w:r w:rsidR="00B97E93" w:rsidRPr="0692D867">
        <w:rPr>
          <w:lang w:val="en-IE"/>
        </w:rPr>
        <w:t>’</w:t>
      </w:r>
      <w:r w:rsidR="55B14492" w:rsidRPr="0692D867">
        <w:rPr>
          <w:lang w:val="en-IE"/>
        </w:rPr>
        <w:t xml:space="preserve"> study</w:t>
      </w:r>
      <w:r w:rsidR="441CC1E4" w:rsidRPr="0692D867">
        <w:rPr>
          <w:lang w:val="en-IE"/>
        </w:rPr>
        <w:t xml:space="preserve"> today</w:t>
      </w:r>
      <w:r w:rsidR="00B97E93" w:rsidRPr="0692D867">
        <w:rPr>
          <w:lang w:val="en-IE"/>
        </w:rPr>
        <w:t xml:space="preserve">. </w:t>
      </w:r>
      <w:r w:rsidR="0BD8A24E" w:rsidRPr="0692D867">
        <w:rPr>
          <w:rFonts w:ascii="Aptos" w:eastAsia="Aptos" w:hAnsi="Aptos" w:cs="Aptos"/>
          <w:lang w:val="en-IE"/>
        </w:rPr>
        <w:t xml:space="preserve">Using newly collected </w:t>
      </w:r>
      <w:r w:rsidR="0BD8A24E" w:rsidRPr="0692D867">
        <w:rPr>
          <w:rFonts w:ascii="Aptos" w:eastAsia="Aptos" w:hAnsi="Aptos" w:cs="Aptos"/>
          <w:lang w:val="en-IE"/>
        </w:rPr>
        <w:lastRenderedPageBreak/>
        <w:t>annual registrations data allows us to track individual properties for the first time to see how their rents are changing from year to year. These new data give us a deeper understanding of the sector. We aim to provide further insights when we publish the full report later this year.</w:t>
      </w:r>
      <w:r w:rsidR="5A230964" w:rsidRPr="0692D867">
        <w:rPr>
          <w:lang w:val="en-IE"/>
        </w:rPr>
        <w:t>”</w:t>
      </w:r>
    </w:p>
    <w:p w14:paraId="3D0740E9" w14:textId="77777777" w:rsidR="00316E7A" w:rsidRPr="00804B0E" w:rsidRDefault="00316E7A" w:rsidP="004E4B81">
      <w:pPr>
        <w:spacing w:after="0"/>
        <w:rPr>
          <w:lang w:val="en-IE"/>
        </w:rPr>
      </w:pPr>
    </w:p>
    <w:p w14:paraId="03B63206" w14:textId="4405F69A" w:rsidR="7A6E287E" w:rsidRDefault="7A6E287E" w:rsidP="7A6E287E">
      <w:pPr>
        <w:spacing w:after="0"/>
        <w:rPr>
          <w:b/>
          <w:bCs/>
          <w:lang w:val="en-IE"/>
        </w:rPr>
      </w:pPr>
    </w:p>
    <w:p w14:paraId="27D84A91" w14:textId="605A63E4" w:rsidR="494292FB" w:rsidRPr="00804B0E" w:rsidRDefault="494292FB" w:rsidP="004E4B81">
      <w:pPr>
        <w:spacing w:after="0"/>
        <w:rPr>
          <w:b/>
          <w:bCs/>
          <w:lang w:val="en-IE"/>
        </w:rPr>
      </w:pPr>
      <w:r w:rsidRPr="00804B0E">
        <w:rPr>
          <w:b/>
          <w:bCs/>
          <w:lang w:val="en-IE"/>
        </w:rPr>
        <w:t xml:space="preserve">New Tenancies Rent Index – </w:t>
      </w:r>
      <w:r w:rsidR="00987F8C" w:rsidRPr="00804B0E">
        <w:rPr>
          <w:b/>
          <w:bCs/>
          <w:lang w:val="en-IE"/>
        </w:rPr>
        <w:t xml:space="preserve">Q1 2024 </w:t>
      </w:r>
      <w:r w:rsidRPr="00804B0E">
        <w:rPr>
          <w:b/>
          <w:bCs/>
          <w:lang w:val="en-IE"/>
        </w:rPr>
        <w:t>Key Data</w:t>
      </w:r>
    </w:p>
    <w:p w14:paraId="0FC8A1D4" w14:textId="2B234AAF" w:rsidR="494292FB" w:rsidRPr="00804B0E" w:rsidRDefault="494292FB" w:rsidP="004E4B81">
      <w:pPr>
        <w:pStyle w:val="Heading4"/>
        <w:numPr>
          <w:ilvl w:val="0"/>
          <w:numId w:val="7"/>
        </w:numPr>
        <w:spacing w:before="0" w:after="0"/>
        <w:rPr>
          <w:i w:val="0"/>
          <w:iCs w:val="0"/>
          <w:color w:val="000000" w:themeColor="text1"/>
          <w:lang w:val="en-IE"/>
        </w:rPr>
      </w:pPr>
      <w:r w:rsidRPr="00804B0E">
        <w:rPr>
          <w:i w:val="0"/>
          <w:iCs w:val="0"/>
          <w:color w:val="000000" w:themeColor="text1"/>
          <w:lang w:val="en-IE"/>
        </w:rPr>
        <w:t xml:space="preserve">Rents for new tenancies rose by 8.1% nationally since Q1 2023. </w:t>
      </w:r>
    </w:p>
    <w:p w14:paraId="5C05E405" w14:textId="7026BF39" w:rsidR="004E4B81" w:rsidRPr="00804B0E" w:rsidRDefault="000B1900" w:rsidP="004E4B81">
      <w:pPr>
        <w:pStyle w:val="Heading4"/>
        <w:numPr>
          <w:ilvl w:val="0"/>
          <w:numId w:val="7"/>
        </w:numPr>
        <w:spacing w:before="0" w:after="0"/>
        <w:rPr>
          <w:i w:val="0"/>
          <w:iCs w:val="0"/>
          <w:color w:val="000000" w:themeColor="text1"/>
          <w:lang w:val="en-IE"/>
        </w:rPr>
      </w:pPr>
      <w:r w:rsidRPr="00804B0E">
        <w:rPr>
          <w:i w:val="0"/>
          <w:iCs w:val="0"/>
          <w:color w:val="000000" w:themeColor="text1"/>
          <w:lang w:val="en-IE"/>
        </w:rPr>
        <w:t xml:space="preserve">The </w:t>
      </w:r>
      <w:r w:rsidR="004E4B81" w:rsidRPr="00804B0E">
        <w:rPr>
          <w:i w:val="0"/>
          <w:iCs w:val="0"/>
          <w:color w:val="000000" w:themeColor="text1"/>
          <w:lang w:val="en-IE"/>
        </w:rPr>
        <w:t xml:space="preserve">average standardised rent </w:t>
      </w:r>
      <w:r w:rsidRPr="00804B0E">
        <w:rPr>
          <w:i w:val="0"/>
          <w:iCs w:val="0"/>
          <w:color w:val="000000" w:themeColor="text1"/>
          <w:lang w:val="en-IE"/>
        </w:rPr>
        <w:t xml:space="preserve">for new tenancies </w:t>
      </w:r>
      <w:r w:rsidR="00DE4796">
        <w:rPr>
          <w:i w:val="0"/>
          <w:iCs w:val="0"/>
          <w:color w:val="000000" w:themeColor="text1"/>
          <w:lang w:val="en-IE"/>
        </w:rPr>
        <w:t>was</w:t>
      </w:r>
      <w:r w:rsidRPr="00804B0E">
        <w:rPr>
          <w:i w:val="0"/>
          <w:iCs w:val="0"/>
          <w:color w:val="000000" w:themeColor="text1"/>
          <w:lang w:val="en-IE"/>
        </w:rPr>
        <w:t xml:space="preserve"> highest in Dublin at</w:t>
      </w:r>
      <w:r w:rsidR="004E4B81" w:rsidRPr="00804B0E">
        <w:rPr>
          <w:i w:val="0"/>
          <w:iCs w:val="0"/>
          <w:color w:val="000000" w:themeColor="text1"/>
          <w:lang w:val="en-IE"/>
        </w:rPr>
        <w:t xml:space="preserve"> €2,128 per month</w:t>
      </w:r>
      <w:r w:rsidR="000A78F7" w:rsidRPr="00804B0E">
        <w:rPr>
          <w:i w:val="0"/>
          <w:iCs w:val="0"/>
          <w:color w:val="000000" w:themeColor="text1"/>
          <w:lang w:val="en-IE"/>
        </w:rPr>
        <w:t xml:space="preserve"> and lowest in Donegal</w:t>
      </w:r>
      <w:r w:rsidR="00E06D32" w:rsidRPr="00804B0E">
        <w:rPr>
          <w:i w:val="0"/>
          <w:iCs w:val="0"/>
          <w:color w:val="000000" w:themeColor="text1"/>
          <w:lang w:val="en-IE"/>
        </w:rPr>
        <w:t xml:space="preserve"> </w:t>
      </w:r>
      <w:r w:rsidR="009D0DB5" w:rsidRPr="00804B0E">
        <w:rPr>
          <w:i w:val="0"/>
          <w:iCs w:val="0"/>
          <w:color w:val="000000" w:themeColor="text1"/>
          <w:lang w:val="en-IE"/>
        </w:rPr>
        <w:t>at</w:t>
      </w:r>
      <w:r w:rsidR="004E4B81" w:rsidRPr="00804B0E">
        <w:rPr>
          <w:i w:val="0"/>
          <w:iCs w:val="0"/>
          <w:color w:val="000000" w:themeColor="text1"/>
          <w:lang w:val="en-IE"/>
        </w:rPr>
        <w:t xml:space="preserve"> €950 per month.</w:t>
      </w:r>
    </w:p>
    <w:p w14:paraId="50D48250" w14:textId="6635D390" w:rsidR="494292FB" w:rsidRPr="00804B0E" w:rsidRDefault="002559E0" w:rsidP="004E4B81">
      <w:pPr>
        <w:pStyle w:val="Heading4"/>
        <w:numPr>
          <w:ilvl w:val="0"/>
          <w:numId w:val="7"/>
        </w:numPr>
        <w:spacing w:before="0" w:after="0"/>
        <w:rPr>
          <w:i w:val="0"/>
          <w:iCs w:val="0"/>
          <w:color w:val="000000" w:themeColor="text1"/>
          <w:lang w:val="en-IE"/>
        </w:rPr>
      </w:pPr>
      <w:r w:rsidRPr="00804B0E">
        <w:rPr>
          <w:i w:val="0"/>
          <w:iCs w:val="0"/>
          <w:color w:val="000000" w:themeColor="text1"/>
          <w:lang w:val="en-IE"/>
        </w:rPr>
        <w:t>I</w:t>
      </w:r>
      <w:r w:rsidR="494292FB" w:rsidRPr="00804B0E">
        <w:rPr>
          <w:i w:val="0"/>
          <w:iCs w:val="0"/>
          <w:color w:val="000000" w:themeColor="text1"/>
          <w:lang w:val="en-IE"/>
        </w:rPr>
        <w:t xml:space="preserve">n Dublin the </w:t>
      </w:r>
      <w:r w:rsidR="00460061" w:rsidRPr="00804B0E">
        <w:rPr>
          <w:i w:val="0"/>
          <w:iCs w:val="0"/>
          <w:color w:val="000000" w:themeColor="text1"/>
          <w:lang w:val="en-IE"/>
        </w:rPr>
        <w:t>annual</w:t>
      </w:r>
      <w:r w:rsidR="494292FB" w:rsidRPr="00804B0E">
        <w:rPr>
          <w:i w:val="0"/>
          <w:iCs w:val="0"/>
          <w:color w:val="000000" w:themeColor="text1"/>
          <w:lang w:val="en-IE"/>
        </w:rPr>
        <w:t xml:space="preserve"> increase for new tenanc</w:t>
      </w:r>
      <w:r w:rsidR="00C5349A" w:rsidRPr="00804B0E">
        <w:rPr>
          <w:i w:val="0"/>
          <w:iCs w:val="0"/>
          <w:color w:val="000000" w:themeColor="text1"/>
          <w:lang w:val="en-IE"/>
        </w:rPr>
        <w:t>y rents</w:t>
      </w:r>
      <w:r w:rsidR="494292FB" w:rsidRPr="00804B0E">
        <w:rPr>
          <w:i w:val="0"/>
          <w:iCs w:val="0"/>
          <w:color w:val="000000" w:themeColor="text1"/>
          <w:lang w:val="en-IE"/>
        </w:rPr>
        <w:t xml:space="preserve"> </w:t>
      </w:r>
      <w:r w:rsidR="00E06D32" w:rsidRPr="00804B0E">
        <w:rPr>
          <w:i w:val="0"/>
          <w:iCs w:val="0"/>
          <w:color w:val="000000" w:themeColor="text1"/>
          <w:lang w:val="en-IE"/>
        </w:rPr>
        <w:t>was</w:t>
      </w:r>
      <w:r w:rsidR="494292FB" w:rsidRPr="00804B0E">
        <w:rPr>
          <w:i w:val="0"/>
          <w:iCs w:val="0"/>
          <w:color w:val="000000" w:themeColor="text1"/>
          <w:lang w:val="en-IE"/>
        </w:rPr>
        <w:t xml:space="preserve"> 6.3%, compared with 12.2% outside of Dublin. </w:t>
      </w:r>
    </w:p>
    <w:p w14:paraId="7355C465" w14:textId="159DE9E5" w:rsidR="000477B0" w:rsidRPr="00804B0E" w:rsidRDefault="000477B0" w:rsidP="004E4B81">
      <w:pPr>
        <w:pStyle w:val="ListParagraph"/>
        <w:numPr>
          <w:ilvl w:val="0"/>
          <w:numId w:val="7"/>
        </w:numPr>
        <w:spacing w:after="0"/>
        <w:rPr>
          <w:lang w:val="en-IE"/>
        </w:rPr>
      </w:pPr>
      <w:r w:rsidRPr="00804B0E">
        <w:rPr>
          <w:lang w:val="en-IE"/>
        </w:rPr>
        <w:t xml:space="preserve">Counties Leitrim and Longford </w:t>
      </w:r>
      <w:r w:rsidR="002C79BE" w:rsidRPr="00804B0E">
        <w:rPr>
          <w:lang w:val="en-IE"/>
        </w:rPr>
        <w:t>saw</w:t>
      </w:r>
      <w:r w:rsidRPr="00804B0E">
        <w:rPr>
          <w:lang w:val="en-IE"/>
        </w:rPr>
        <w:t xml:space="preserve"> the highest growth in rent for new tenancies at 22.6%</w:t>
      </w:r>
      <w:r w:rsidR="002262A2" w:rsidRPr="00804B0E">
        <w:rPr>
          <w:lang w:val="en-IE"/>
        </w:rPr>
        <w:t xml:space="preserve"> and </w:t>
      </w:r>
      <w:r w:rsidR="004E4B81" w:rsidRPr="00804B0E">
        <w:rPr>
          <w:lang w:val="en-IE"/>
        </w:rPr>
        <w:t>22.5</w:t>
      </w:r>
      <w:r w:rsidR="002262A2" w:rsidRPr="00804B0E">
        <w:rPr>
          <w:lang w:val="en-IE"/>
        </w:rPr>
        <w:t>%</w:t>
      </w:r>
      <w:r w:rsidR="004E4B81" w:rsidRPr="00804B0E">
        <w:rPr>
          <w:lang w:val="en-IE"/>
        </w:rPr>
        <w:t xml:space="preserve"> respectively.</w:t>
      </w:r>
    </w:p>
    <w:p w14:paraId="350F0511" w14:textId="3F99E46E" w:rsidR="000477B0" w:rsidRPr="00804B0E" w:rsidRDefault="000477B0" w:rsidP="004E4B81">
      <w:pPr>
        <w:pStyle w:val="ListParagraph"/>
        <w:numPr>
          <w:ilvl w:val="0"/>
          <w:numId w:val="7"/>
        </w:numPr>
        <w:spacing w:after="0"/>
        <w:rPr>
          <w:lang w:val="en-IE"/>
        </w:rPr>
      </w:pPr>
      <w:r w:rsidRPr="00804B0E">
        <w:rPr>
          <w:lang w:val="en-IE"/>
        </w:rPr>
        <w:t>Looking at cities, Dublin City ha</w:t>
      </w:r>
      <w:r w:rsidR="002262A2" w:rsidRPr="00804B0E">
        <w:rPr>
          <w:lang w:val="en-IE"/>
        </w:rPr>
        <w:t>d</w:t>
      </w:r>
      <w:r w:rsidRPr="00804B0E">
        <w:rPr>
          <w:lang w:val="en-IE"/>
        </w:rPr>
        <w:t xml:space="preserve"> the highest average rent </w:t>
      </w:r>
      <w:r w:rsidR="002262A2" w:rsidRPr="00804B0E">
        <w:rPr>
          <w:lang w:val="en-IE"/>
        </w:rPr>
        <w:t xml:space="preserve">for new tenancies </w:t>
      </w:r>
      <w:r w:rsidRPr="00804B0E">
        <w:rPr>
          <w:lang w:val="en-IE"/>
        </w:rPr>
        <w:t xml:space="preserve">at €2,084 followed by Galway City at €1,720. Limerick City recorded the greatest </w:t>
      </w:r>
      <w:r w:rsidR="002262A2" w:rsidRPr="00804B0E">
        <w:rPr>
          <w:lang w:val="en-IE"/>
        </w:rPr>
        <w:t>annual increase in rent levels, rising by 18.3% to €1,522</w:t>
      </w:r>
      <w:r w:rsidR="00C81D6C" w:rsidRPr="00804B0E">
        <w:rPr>
          <w:lang w:val="en-IE"/>
        </w:rPr>
        <w:t>.</w:t>
      </w:r>
    </w:p>
    <w:p w14:paraId="1612EAAA" w14:textId="77777777" w:rsidR="00385F3C" w:rsidRPr="00804B0E" w:rsidRDefault="00385F3C" w:rsidP="00385F3C">
      <w:pPr>
        <w:pStyle w:val="ListParagraph"/>
        <w:spacing w:after="0"/>
        <w:ind w:left="360"/>
        <w:rPr>
          <w:lang w:val="en-IE"/>
        </w:rPr>
      </w:pPr>
    </w:p>
    <w:p w14:paraId="1AC594C7" w14:textId="75FD2F86" w:rsidR="494292FB" w:rsidRPr="00804B0E" w:rsidRDefault="494292FB" w:rsidP="004E4B81">
      <w:pPr>
        <w:spacing w:after="0"/>
        <w:rPr>
          <w:b/>
          <w:bCs/>
          <w:color w:val="000000" w:themeColor="text1"/>
          <w:lang w:val="en-IE"/>
        </w:rPr>
      </w:pPr>
      <w:r w:rsidRPr="00804B0E">
        <w:rPr>
          <w:b/>
          <w:bCs/>
          <w:color w:val="000000" w:themeColor="text1"/>
          <w:lang w:val="en-IE"/>
        </w:rPr>
        <w:t xml:space="preserve">Existing Tenancies Rent Index – </w:t>
      </w:r>
      <w:r w:rsidR="00987F8C" w:rsidRPr="00804B0E">
        <w:rPr>
          <w:b/>
          <w:bCs/>
          <w:color w:val="000000" w:themeColor="text1"/>
          <w:lang w:val="en-IE"/>
        </w:rPr>
        <w:t xml:space="preserve">Q1 2024 </w:t>
      </w:r>
      <w:r w:rsidRPr="00804B0E">
        <w:rPr>
          <w:b/>
          <w:bCs/>
          <w:color w:val="000000" w:themeColor="text1"/>
          <w:lang w:val="en-IE"/>
        </w:rPr>
        <w:t>Key Data</w:t>
      </w:r>
    </w:p>
    <w:p w14:paraId="6F2288C8" w14:textId="4FB4EC27" w:rsidR="494292FB" w:rsidRPr="00804B0E" w:rsidRDefault="00987F8C" w:rsidP="004E4B81">
      <w:pPr>
        <w:pStyle w:val="ListParagraph"/>
        <w:numPr>
          <w:ilvl w:val="0"/>
          <w:numId w:val="7"/>
        </w:numPr>
        <w:spacing w:after="0"/>
        <w:rPr>
          <w:color w:val="000000" w:themeColor="text1"/>
          <w:lang w:val="en-IE"/>
        </w:rPr>
      </w:pPr>
      <w:r w:rsidRPr="00804B0E">
        <w:rPr>
          <w:color w:val="000000" w:themeColor="text1"/>
          <w:lang w:val="en-IE"/>
        </w:rPr>
        <w:t>R</w:t>
      </w:r>
      <w:r w:rsidR="494292FB" w:rsidRPr="00804B0E">
        <w:rPr>
          <w:color w:val="000000" w:themeColor="text1"/>
          <w:lang w:val="en-IE"/>
        </w:rPr>
        <w:t>ents for existing tenancies rose by 5.9% nationally</w:t>
      </w:r>
      <w:r w:rsidRPr="00804B0E">
        <w:rPr>
          <w:color w:val="000000" w:themeColor="text1"/>
          <w:lang w:val="en-IE"/>
        </w:rPr>
        <w:t xml:space="preserve"> since</w:t>
      </w:r>
      <w:r w:rsidR="494292FB" w:rsidRPr="00804B0E">
        <w:rPr>
          <w:color w:val="000000" w:themeColor="text1"/>
          <w:lang w:val="en-IE"/>
        </w:rPr>
        <w:t xml:space="preserve"> Q1 2023.</w:t>
      </w:r>
    </w:p>
    <w:p w14:paraId="362D6137" w14:textId="0DC4357E" w:rsidR="00242C73" w:rsidRPr="00804B0E" w:rsidRDefault="00804B0E" w:rsidP="00242C73">
      <w:pPr>
        <w:pStyle w:val="ListParagraph"/>
        <w:numPr>
          <w:ilvl w:val="0"/>
          <w:numId w:val="7"/>
        </w:numPr>
        <w:spacing w:after="0"/>
        <w:rPr>
          <w:lang w:val="en-IE"/>
        </w:rPr>
      </w:pPr>
      <w:r w:rsidRPr="0692D867">
        <w:rPr>
          <w:lang w:val="en-IE"/>
        </w:rPr>
        <w:t xml:space="preserve">The standardised </w:t>
      </w:r>
      <w:r w:rsidR="6D7AEB8B" w:rsidRPr="0692D867">
        <w:rPr>
          <w:lang w:val="en-IE"/>
        </w:rPr>
        <w:t xml:space="preserve">average </w:t>
      </w:r>
      <w:r w:rsidRPr="0692D867">
        <w:rPr>
          <w:lang w:val="en-IE"/>
        </w:rPr>
        <w:t>rent for</w:t>
      </w:r>
      <w:r w:rsidR="00242C73" w:rsidRPr="0692D867">
        <w:rPr>
          <w:lang w:val="en-IE"/>
        </w:rPr>
        <w:t xml:space="preserve"> existing tenancies</w:t>
      </w:r>
      <w:r w:rsidR="00195256" w:rsidRPr="0692D867">
        <w:rPr>
          <w:lang w:val="en-IE"/>
        </w:rPr>
        <w:t xml:space="preserve"> </w:t>
      </w:r>
      <w:r w:rsidRPr="0692D867">
        <w:rPr>
          <w:lang w:val="en-IE"/>
        </w:rPr>
        <w:t>was highest in Dublin at</w:t>
      </w:r>
      <w:r w:rsidR="00242C73" w:rsidRPr="0692D867">
        <w:rPr>
          <w:lang w:val="en-IE"/>
        </w:rPr>
        <w:t xml:space="preserve"> €1,829 per month</w:t>
      </w:r>
      <w:r w:rsidRPr="0692D867">
        <w:rPr>
          <w:lang w:val="en-IE"/>
        </w:rPr>
        <w:t xml:space="preserve"> and</w:t>
      </w:r>
      <w:r w:rsidR="00242C73" w:rsidRPr="0692D867">
        <w:rPr>
          <w:lang w:val="en-IE"/>
        </w:rPr>
        <w:t xml:space="preserve"> lowest in Leitrim </w:t>
      </w:r>
      <w:r w:rsidRPr="0692D867">
        <w:rPr>
          <w:lang w:val="en-IE"/>
        </w:rPr>
        <w:t xml:space="preserve">at </w:t>
      </w:r>
      <w:r w:rsidR="00242C73" w:rsidRPr="0692D867">
        <w:rPr>
          <w:lang w:val="en-IE"/>
        </w:rPr>
        <w:t>€726 per month.</w:t>
      </w:r>
    </w:p>
    <w:p w14:paraId="6B2B40F3" w14:textId="153D1907" w:rsidR="32F86AB8" w:rsidRPr="00804B0E" w:rsidRDefault="7C5AF1EF" w:rsidP="004E4B81">
      <w:pPr>
        <w:pStyle w:val="ListParagraph"/>
        <w:numPr>
          <w:ilvl w:val="0"/>
          <w:numId w:val="7"/>
        </w:numPr>
        <w:spacing w:after="0"/>
        <w:rPr>
          <w:lang w:val="en-IE"/>
        </w:rPr>
      </w:pPr>
      <w:r w:rsidRPr="0692D867">
        <w:rPr>
          <w:lang w:val="en-IE"/>
        </w:rPr>
        <w:t xml:space="preserve">Nearly </w:t>
      </w:r>
      <w:r w:rsidR="32F86AB8" w:rsidRPr="0692D867">
        <w:rPr>
          <w:lang w:val="en-IE"/>
        </w:rPr>
        <w:t xml:space="preserve">30% of existing tenancies in Q1 2024 were new tenancies one year ago. </w:t>
      </w:r>
      <w:r w:rsidR="00987F8C" w:rsidRPr="0692D867">
        <w:rPr>
          <w:lang w:val="en-IE"/>
        </w:rPr>
        <w:t>New tenancies include</w:t>
      </w:r>
      <w:r w:rsidR="44443F4D" w:rsidRPr="0692D867">
        <w:rPr>
          <w:lang w:val="en-IE"/>
        </w:rPr>
        <w:t xml:space="preserve"> </w:t>
      </w:r>
      <w:r w:rsidR="32F86AB8" w:rsidRPr="0692D867">
        <w:rPr>
          <w:lang w:val="en-IE"/>
        </w:rPr>
        <w:t>new builds and properties not rented for two years that are not subject to RPZ rules</w:t>
      </w:r>
      <w:r w:rsidR="00987F8C" w:rsidRPr="0692D867">
        <w:rPr>
          <w:lang w:val="en-IE"/>
        </w:rPr>
        <w:t xml:space="preserve">. They </w:t>
      </w:r>
      <w:r w:rsidR="0DDE084C" w:rsidRPr="0692D867">
        <w:rPr>
          <w:lang w:val="en-IE"/>
        </w:rPr>
        <w:t xml:space="preserve">tend </w:t>
      </w:r>
      <w:r w:rsidR="2A1A9719" w:rsidRPr="0692D867">
        <w:rPr>
          <w:lang w:val="en-IE"/>
        </w:rPr>
        <w:t xml:space="preserve">to come </w:t>
      </w:r>
      <w:r w:rsidR="249227BC" w:rsidRPr="0692D867">
        <w:rPr>
          <w:lang w:val="en-IE"/>
        </w:rPr>
        <w:t>on the market at a higher rent</w:t>
      </w:r>
      <w:r w:rsidR="00D135C4" w:rsidRPr="0692D867">
        <w:rPr>
          <w:lang w:val="en-IE"/>
        </w:rPr>
        <w:t>. Whe</w:t>
      </w:r>
      <w:r w:rsidR="55EFA8CC" w:rsidRPr="0692D867">
        <w:rPr>
          <w:lang w:val="en-IE"/>
        </w:rPr>
        <w:t xml:space="preserve">n they move to the Existing Tenancies Rent Index, they push up </w:t>
      </w:r>
      <w:r w:rsidR="5B2B9753" w:rsidRPr="0692D867">
        <w:rPr>
          <w:lang w:val="en-IE"/>
        </w:rPr>
        <w:t>the average rent level on this index.</w:t>
      </w:r>
    </w:p>
    <w:p w14:paraId="0BA31DE9" w14:textId="63A91794" w:rsidR="5B2B9753" w:rsidRPr="00804B0E" w:rsidRDefault="5B2B9753" w:rsidP="004E4B81">
      <w:pPr>
        <w:pStyle w:val="ListParagraph"/>
        <w:numPr>
          <w:ilvl w:val="0"/>
          <w:numId w:val="7"/>
        </w:numPr>
        <w:spacing w:after="0"/>
        <w:rPr>
          <w:lang w:val="en-IE"/>
        </w:rPr>
      </w:pPr>
      <w:r w:rsidRPr="00804B0E">
        <w:rPr>
          <w:lang w:val="en-IE"/>
        </w:rPr>
        <w:t xml:space="preserve">The Greater Dublin </w:t>
      </w:r>
      <w:r w:rsidR="000527F3" w:rsidRPr="00804B0E">
        <w:rPr>
          <w:lang w:val="en-IE"/>
        </w:rPr>
        <w:t>A</w:t>
      </w:r>
      <w:r w:rsidRPr="00804B0E">
        <w:rPr>
          <w:lang w:val="en-IE"/>
        </w:rPr>
        <w:t>rea of Kildare, Meath and Wicklow had the lowest increase in average rents</w:t>
      </w:r>
      <w:r w:rsidR="00987F8C" w:rsidRPr="00804B0E">
        <w:rPr>
          <w:lang w:val="en-IE"/>
        </w:rPr>
        <w:t xml:space="preserve"> for existing</w:t>
      </w:r>
      <w:r w:rsidR="00516714" w:rsidRPr="00804B0E">
        <w:rPr>
          <w:lang w:val="en-IE"/>
        </w:rPr>
        <w:t xml:space="preserve"> tenancies</w:t>
      </w:r>
      <w:r w:rsidR="0A8B8566" w:rsidRPr="00804B0E">
        <w:rPr>
          <w:lang w:val="en-IE"/>
        </w:rPr>
        <w:t>, up 4.1% from Q1 2023</w:t>
      </w:r>
      <w:r w:rsidR="5C46EC16" w:rsidRPr="00804B0E">
        <w:rPr>
          <w:lang w:val="en-IE"/>
        </w:rPr>
        <w:t xml:space="preserve"> compared with 5.2% in Dublin and 6.3% outside the Greater Dublin area.</w:t>
      </w:r>
    </w:p>
    <w:p w14:paraId="1E45E6E0" w14:textId="21D1DE50" w:rsidR="1F0E162A" w:rsidRPr="00804B0E" w:rsidRDefault="1F0E162A" w:rsidP="004E4B81">
      <w:pPr>
        <w:spacing w:after="0"/>
        <w:rPr>
          <w:lang w:val="en-IE"/>
        </w:rPr>
      </w:pPr>
    </w:p>
    <w:p w14:paraId="23D11B94" w14:textId="2B1842E9" w:rsidR="00987F8C" w:rsidRPr="00804B0E" w:rsidRDefault="00987F8C" w:rsidP="004E4B81">
      <w:pPr>
        <w:spacing w:after="0"/>
        <w:rPr>
          <w:b/>
          <w:bCs/>
          <w:lang w:val="en-IE"/>
        </w:rPr>
      </w:pPr>
      <w:r w:rsidRPr="00804B0E">
        <w:rPr>
          <w:b/>
          <w:bCs/>
          <w:lang w:val="en-IE"/>
        </w:rPr>
        <w:t>Individual Property Level Analysis – Preliminary Findings</w:t>
      </w:r>
    </w:p>
    <w:p w14:paraId="7DDEF9E8" w14:textId="64B0A862" w:rsidR="6EF0448D" w:rsidRDefault="7F3932C7" w:rsidP="0692D867">
      <w:pPr>
        <w:pStyle w:val="ListParagraph"/>
        <w:numPr>
          <w:ilvl w:val="0"/>
          <w:numId w:val="9"/>
        </w:numPr>
        <w:spacing w:after="0"/>
        <w:rPr>
          <w:rFonts w:ascii="Aptos" w:eastAsia="Aptos" w:hAnsi="Aptos" w:cs="Aptos"/>
          <w:lang w:val="en-IE"/>
        </w:rPr>
      </w:pPr>
      <w:r w:rsidRPr="4618C905">
        <w:rPr>
          <w:rFonts w:ascii="Aptos" w:eastAsia="Aptos" w:hAnsi="Aptos" w:cs="Aptos"/>
          <w:lang w:val="en-IE"/>
        </w:rPr>
        <w:t xml:space="preserve">The </w:t>
      </w:r>
      <w:r w:rsidR="21F3D1F6" w:rsidRPr="4618C905">
        <w:rPr>
          <w:rFonts w:ascii="Aptos" w:eastAsia="Aptos" w:hAnsi="Aptos" w:cs="Aptos"/>
          <w:lang w:val="en-IE"/>
        </w:rPr>
        <w:t>a</w:t>
      </w:r>
      <w:r w:rsidR="36DAFD04" w:rsidRPr="4618C905">
        <w:rPr>
          <w:rFonts w:ascii="Aptos" w:eastAsia="Aptos" w:hAnsi="Aptos" w:cs="Aptos"/>
          <w:lang w:val="en-IE"/>
        </w:rPr>
        <w:t>nalysis uses newly collected annual registrations data to track individual properties over the 2-year period from Q2 2022 to Q1 2024.</w:t>
      </w:r>
    </w:p>
    <w:p w14:paraId="2416BBA1" w14:textId="45D3AFB6" w:rsidR="6EF0448D" w:rsidRDefault="6EF0448D" w:rsidP="0692D867">
      <w:pPr>
        <w:pStyle w:val="ListParagraph"/>
        <w:numPr>
          <w:ilvl w:val="0"/>
          <w:numId w:val="9"/>
        </w:numPr>
        <w:spacing w:after="0" w:line="278" w:lineRule="auto"/>
        <w:rPr>
          <w:rFonts w:ascii="Aptos" w:eastAsia="Aptos" w:hAnsi="Aptos" w:cs="Aptos"/>
          <w:lang w:val="en-IE"/>
        </w:rPr>
      </w:pPr>
      <w:r w:rsidRPr="0692D867">
        <w:rPr>
          <w:rFonts w:ascii="Aptos" w:eastAsia="Aptos" w:hAnsi="Aptos" w:cs="Aptos"/>
          <w:lang w:val="en-IE"/>
        </w:rPr>
        <w:t>Nationally 74% of sitting tenants experienced an annual rent increase of 2% or below over this period.</w:t>
      </w:r>
    </w:p>
    <w:p w14:paraId="0CE5B0C2" w14:textId="721DF996" w:rsidR="6EF0448D" w:rsidRDefault="36DAFD04" w:rsidP="4618C905">
      <w:pPr>
        <w:pStyle w:val="ListParagraph"/>
        <w:numPr>
          <w:ilvl w:val="0"/>
          <w:numId w:val="9"/>
        </w:numPr>
        <w:spacing w:after="0" w:line="278" w:lineRule="auto"/>
        <w:rPr>
          <w:lang w:val="en-IE"/>
        </w:rPr>
      </w:pPr>
      <w:r w:rsidRPr="4618C905">
        <w:rPr>
          <w:rFonts w:ascii="Aptos" w:eastAsia="Aptos" w:hAnsi="Aptos" w:cs="Aptos"/>
          <w:lang w:val="en-IE"/>
        </w:rPr>
        <w:lastRenderedPageBreak/>
        <w:t>Tenants in non-RPZ areas were more likely to see significant hikes in rent. 16.5% of existing tenants in non-RPZs experienced rent increases of 8% or more compared with 2.8% of tenants in Dublin and 4.8% in other RPZs</w:t>
      </w:r>
      <w:r w:rsidR="2E644C44" w:rsidRPr="4618C905">
        <w:rPr>
          <w:rFonts w:ascii="Aptos" w:eastAsia="Aptos" w:hAnsi="Aptos" w:cs="Aptos"/>
          <w:lang w:val="en-IE"/>
        </w:rPr>
        <w:t xml:space="preserve"> over the two-year period.</w:t>
      </w:r>
    </w:p>
    <w:p w14:paraId="74CB9D6A" w14:textId="43D1F6C2" w:rsidR="6EF0448D" w:rsidRDefault="6EF0448D" w:rsidP="0692D867">
      <w:pPr>
        <w:pStyle w:val="ListParagraph"/>
        <w:numPr>
          <w:ilvl w:val="0"/>
          <w:numId w:val="9"/>
        </w:numPr>
        <w:spacing w:after="0"/>
        <w:rPr>
          <w:b/>
          <w:bCs/>
          <w:lang w:val="en-IE"/>
        </w:rPr>
      </w:pPr>
      <w:r w:rsidRPr="0692D867">
        <w:rPr>
          <w:lang w:val="en-IE"/>
        </w:rPr>
        <w:t>In Q1 2024, r</w:t>
      </w:r>
      <w:r w:rsidR="00D05349" w:rsidRPr="0692D867">
        <w:rPr>
          <w:lang w:val="en-IE"/>
        </w:rPr>
        <w:t>ent increased by an average of 1.3% for existing tenancies tracked</w:t>
      </w:r>
      <w:r w:rsidR="00B97E93" w:rsidRPr="0692D867">
        <w:rPr>
          <w:lang w:val="en-IE"/>
        </w:rPr>
        <w:t xml:space="preserve"> from year to year</w:t>
      </w:r>
      <w:r w:rsidR="00D05349" w:rsidRPr="0692D867">
        <w:rPr>
          <w:lang w:val="en-IE"/>
        </w:rPr>
        <w:t xml:space="preserve"> in Dublin, by 1.4% in all other RPZs and by 3.5% in non-RPZ areas</w:t>
      </w:r>
      <w:r w:rsidR="44569B0A" w:rsidRPr="0692D867">
        <w:rPr>
          <w:lang w:val="en-IE"/>
        </w:rPr>
        <w:t>.</w:t>
      </w:r>
    </w:p>
    <w:p w14:paraId="57E72964" w14:textId="4B3CFF32" w:rsidR="000527F3" w:rsidRPr="00804B0E" w:rsidRDefault="000527F3" w:rsidP="187098E3">
      <w:pPr>
        <w:spacing w:after="0"/>
        <w:rPr>
          <w:lang w:val="en-IE"/>
        </w:rPr>
      </w:pPr>
    </w:p>
    <w:p w14:paraId="50D02775" w14:textId="26E12191" w:rsidR="203EB029" w:rsidRDefault="203EB029" w:rsidP="187098E3">
      <w:pPr>
        <w:spacing w:after="0"/>
        <w:rPr>
          <w:lang w:val="en-IE"/>
        </w:rPr>
      </w:pPr>
      <w:r w:rsidRPr="187098E3">
        <w:rPr>
          <w:lang w:val="en-IE"/>
        </w:rPr>
        <w:t>The full Q1 2024 Rent Index publication and additional information on the Individual Property Level analysis is available at: [insert link to web story]</w:t>
      </w:r>
    </w:p>
    <w:p w14:paraId="625E0334" w14:textId="08FEBB06" w:rsidR="187098E3" w:rsidRDefault="187098E3" w:rsidP="187098E3">
      <w:pPr>
        <w:spacing w:after="0"/>
        <w:rPr>
          <w:lang w:val="en-IE"/>
        </w:rPr>
      </w:pPr>
    </w:p>
    <w:p w14:paraId="354ABB21" w14:textId="7C25CD36" w:rsidR="33667B0E" w:rsidRPr="00804B0E" w:rsidRDefault="33667B0E" w:rsidP="004E4B81">
      <w:pPr>
        <w:spacing w:after="0"/>
        <w:rPr>
          <w:lang w:val="en-IE"/>
        </w:rPr>
      </w:pPr>
      <w:r w:rsidRPr="00804B0E">
        <w:rPr>
          <w:b/>
          <w:bCs/>
          <w:lang w:val="en-IE"/>
        </w:rPr>
        <w:t>Ends</w:t>
      </w:r>
    </w:p>
    <w:p w14:paraId="4E7E0703" w14:textId="4D02D2FD" w:rsidR="1718E6DD" w:rsidRPr="00804B0E" w:rsidRDefault="1718E6DD" w:rsidP="004E4B81">
      <w:pPr>
        <w:spacing w:after="0"/>
        <w:rPr>
          <w:b/>
          <w:bCs/>
          <w:lang w:val="en-IE"/>
        </w:rPr>
      </w:pPr>
    </w:p>
    <w:p w14:paraId="63D79B92" w14:textId="3EB69849" w:rsidR="7ACF7B9F" w:rsidRPr="00804B0E" w:rsidRDefault="7ACF7B9F" w:rsidP="004E4B81">
      <w:pPr>
        <w:spacing w:after="0"/>
        <w:rPr>
          <w:b/>
          <w:bCs/>
          <w:lang w:val="en-IE"/>
        </w:rPr>
      </w:pPr>
      <w:r w:rsidRPr="0692D867">
        <w:rPr>
          <w:b/>
          <w:bCs/>
          <w:lang w:val="en-IE"/>
        </w:rPr>
        <w:t xml:space="preserve">Notes to Editor: </w:t>
      </w:r>
    </w:p>
    <w:p w14:paraId="155C5420" w14:textId="6CEF3ECA" w:rsidR="000B6D23" w:rsidRPr="00804B0E" w:rsidRDefault="38E4D02F" w:rsidP="004E4B81">
      <w:pPr>
        <w:pStyle w:val="ListParagraph"/>
        <w:numPr>
          <w:ilvl w:val="0"/>
          <w:numId w:val="5"/>
        </w:numPr>
        <w:spacing w:after="0"/>
        <w:rPr>
          <w:lang w:val="en-IE"/>
        </w:rPr>
      </w:pPr>
      <w:r w:rsidRPr="7BFDDC63">
        <w:rPr>
          <w:lang w:val="en-IE"/>
        </w:rPr>
        <w:t>The Residential Tenancies Board</w:t>
      </w:r>
      <w:r w:rsidR="46F1C11C" w:rsidRPr="7BFDDC63">
        <w:rPr>
          <w:lang w:val="en-IE"/>
        </w:rPr>
        <w:t xml:space="preserve"> is</w:t>
      </w:r>
      <w:r w:rsidR="36C337F1" w:rsidRPr="7BFDDC63">
        <w:rPr>
          <w:lang w:val="en-IE"/>
        </w:rPr>
        <w:t xml:space="preserve"> </w:t>
      </w:r>
      <w:r w:rsidR="46F1C11C" w:rsidRPr="7BFDDC63">
        <w:rPr>
          <w:lang w:val="en-IE"/>
        </w:rPr>
        <w:t xml:space="preserve">a public body established to regulate the rental housing sector. </w:t>
      </w:r>
      <w:r w:rsidR="36C337F1" w:rsidRPr="7BFDDC63">
        <w:rPr>
          <w:lang w:val="en-IE"/>
        </w:rPr>
        <w:t xml:space="preserve"> Under the Residential Tenancies Act</w:t>
      </w:r>
      <w:r w:rsidR="572B5841" w:rsidRPr="7BFDDC63">
        <w:rPr>
          <w:lang w:val="en-IE"/>
        </w:rPr>
        <w:t>s</w:t>
      </w:r>
      <w:r w:rsidR="36C337F1" w:rsidRPr="7BFDDC63">
        <w:rPr>
          <w:lang w:val="en-IE"/>
        </w:rPr>
        <w:t xml:space="preserve"> 2004</w:t>
      </w:r>
      <w:r w:rsidR="5DED880C" w:rsidRPr="7BFDDC63">
        <w:rPr>
          <w:lang w:val="en-IE"/>
        </w:rPr>
        <w:t xml:space="preserve"> to 2024</w:t>
      </w:r>
      <w:r w:rsidR="36C337F1" w:rsidRPr="7BFDDC63">
        <w:rPr>
          <w:lang w:val="en-IE"/>
        </w:rPr>
        <w:t>, it</w:t>
      </w:r>
      <w:r w:rsidRPr="7BFDDC63">
        <w:rPr>
          <w:lang w:val="en-IE"/>
        </w:rPr>
        <w:t xml:space="preserve"> has a statutory responsibility to maintain a register of private, cost rental, student specific and approved housing body tenancies. </w:t>
      </w:r>
      <w:r w:rsidR="36C337F1" w:rsidRPr="7BFDDC63">
        <w:rPr>
          <w:lang w:val="en-IE"/>
        </w:rPr>
        <w:t>Landlords must register a tenancy with the RTB within one month of its start date. They must re-register on the same date every year after this for as long as the tenancy exists. </w:t>
      </w:r>
    </w:p>
    <w:p w14:paraId="30D71444" w14:textId="6C974924" w:rsidR="5569C2AE" w:rsidRPr="00804B0E" w:rsidRDefault="114B058D" w:rsidP="004E4B81">
      <w:pPr>
        <w:pStyle w:val="ListParagraph"/>
        <w:numPr>
          <w:ilvl w:val="0"/>
          <w:numId w:val="5"/>
        </w:numPr>
        <w:spacing w:after="0"/>
        <w:rPr>
          <w:lang w:val="en-IE"/>
        </w:rPr>
      </w:pPr>
      <w:r w:rsidRPr="4618C905">
        <w:rPr>
          <w:lang w:val="en-IE"/>
        </w:rPr>
        <w:t>The RTB Rent Index provides a standardi</w:t>
      </w:r>
      <w:r w:rsidR="5DB40538" w:rsidRPr="4618C905">
        <w:rPr>
          <w:lang w:val="en-IE"/>
        </w:rPr>
        <w:t>s</w:t>
      </w:r>
      <w:r w:rsidRPr="4618C905">
        <w:rPr>
          <w:lang w:val="en-IE"/>
        </w:rPr>
        <w:t xml:space="preserve">ed average rent for both new and existing tenancies. This refers to the development of an average that is consistent over time to changes in different property types or characteristics of the tenancy that may evolve with the market. </w:t>
      </w:r>
    </w:p>
    <w:p w14:paraId="20412004" w14:textId="14C37F44" w:rsidR="27F524EE" w:rsidRDefault="27F524EE" w:rsidP="4618C905">
      <w:pPr>
        <w:pStyle w:val="ListParagraph"/>
        <w:numPr>
          <w:ilvl w:val="0"/>
          <w:numId w:val="5"/>
        </w:numPr>
        <w:spacing w:after="0"/>
        <w:rPr>
          <w:lang w:val="en-IE"/>
        </w:rPr>
      </w:pPr>
      <w:r w:rsidRPr="7A6E287E">
        <w:rPr>
          <w:lang w:val="en-IE"/>
        </w:rPr>
        <w:t>Under the Residential Tenancies Act 2004 to 2024, the RTB has powers to investigate and sanction landlords who have engaged in breaches of rental law, known as “Improper Conduct</w:t>
      </w:r>
      <w:r w:rsidR="5CC5130E" w:rsidRPr="7A6E287E">
        <w:rPr>
          <w:lang w:val="en-IE"/>
        </w:rPr>
        <w:t>.</w:t>
      </w:r>
      <w:r w:rsidRPr="7A6E287E">
        <w:rPr>
          <w:lang w:val="en-IE"/>
        </w:rPr>
        <w:t>”</w:t>
      </w:r>
      <w:r w:rsidR="0DDAE1FE" w:rsidRPr="7A6E287E">
        <w:rPr>
          <w:lang w:val="en-IE"/>
        </w:rPr>
        <w:t xml:space="preserve"> </w:t>
      </w:r>
      <w:r w:rsidR="0FC2FFC0" w:rsidRPr="7A6E287E">
        <w:rPr>
          <w:lang w:val="en-IE"/>
        </w:rPr>
        <w:t xml:space="preserve">Sanctions may include a written caution and/or a fine of up to </w:t>
      </w:r>
      <w:r w:rsidR="4D100DD7" w:rsidRPr="7A6E287E">
        <w:rPr>
          <w:lang w:val="en-IE"/>
        </w:rPr>
        <w:t>€</w:t>
      </w:r>
      <w:r w:rsidR="0FC2FFC0" w:rsidRPr="7A6E287E">
        <w:rPr>
          <w:lang w:val="en-IE"/>
        </w:rPr>
        <w:t xml:space="preserve">15,000 and costs up to </w:t>
      </w:r>
      <w:r w:rsidR="096701C5" w:rsidRPr="7A6E287E">
        <w:rPr>
          <w:lang w:val="en-IE"/>
        </w:rPr>
        <w:t>€</w:t>
      </w:r>
      <w:r w:rsidR="0FC2FFC0" w:rsidRPr="7A6E287E">
        <w:rPr>
          <w:lang w:val="en-IE"/>
        </w:rPr>
        <w:t xml:space="preserve">15,000. All monetary sanctions are transferred by the RTB to the Exchequer. The </w:t>
      </w:r>
      <w:r w:rsidR="422237DD" w:rsidRPr="7A6E287E">
        <w:rPr>
          <w:lang w:val="en-IE"/>
        </w:rPr>
        <w:t>Improper Conducts i</w:t>
      </w:r>
      <w:r w:rsidR="0DDAE1FE" w:rsidRPr="7A6E287E">
        <w:rPr>
          <w:lang w:val="en-IE"/>
        </w:rPr>
        <w:t xml:space="preserve">nclude: </w:t>
      </w:r>
    </w:p>
    <w:p w14:paraId="298D280E" w14:textId="34856086" w:rsidR="0DDAE1FE" w:rsidRDefault="0DDAE1FE" w:rsidP="4618C905">
      <w:pPr>
        <w:pStyle w:val="ListParagraph"/>
        <w:numPr>
          <w:ilvl w:val="1"/>
          <w:numId w:val="5"/>
        </w:numPr>
        <w:spacing w:after="0"/>
        <w:rPr>
          <w:lang w:val="en-IE"/>
        </w:rPr>
      </w:pPr>
      <w:r w:rsidRPr="4618C905">
        <w:rPr>
          <w:lang w:val="en-IE"/>
        </w:rPr>
        <w:t>Failure to comply with Rent Pressure Zone (RPZ) requirements</w:t>
      </w:r>
    </w:p>
    <w:p w14:paraId="507D5357" w14:textId="5873D6FA" w:rsidR="0DDAE1FE" w:rsidRDefault="0DDAE1FE" w:rsidP="4618C905">
      <w:pPr>
        <w:pStyle w:val="ListParagraph"/>
        <w:numPr>
          <w:ilvl w:val="1"/>
          <w:numId w:val="5"/>
        </w:numPr>
        <w:spacing w:after="0"/>
        <w:rPr>
          <w:lang w:val="en-IE"/>
        </w:rPr>
      </w:pPr>
      <w:r w:rsidRPr="4618C905">
        <w:rPr>
          <w:lang w:val="en-IE"/>
        </w:rPr>
        <w:t>Falsely relying on an RPZ exemption</w:t>
      </w:r>
    </w:p>
    <w:p w14:paraId="562E4020" w14:textId="1BA9005F" w:rsidR="0DDAE1FE" w:rsidRDefault="0DDAE1FE" w:rsidP="4618C905">
      <w:pPr>
        <w:pStyle w:val="ListParagraph"/>
        <w:numPr>
          <w:ilvl w:val="1"/>
          <w:numId w:val="5"/>
        </w:numPr>
        <w:spacing w:after="0"/>
        <w:rPr>
          <w:lang w:val="en-IE"/>
        </w:rPr>
      </w:pPr>
      <w:r w:rsidRPr="4618C905">
        <w:rPr>
          <w:lang w:val="en-IE"/>
        </w:rPr>
        <w:t>Failure to notify the RTB of a reliance on an RPZ exemption</w:t>
      </w:r>
    </w:p>
    <w:p w14:paraId="07B08542" w14:textId="7B85D826" w:rsidR="0DDAE1FE" w:rsidRDefault="0DDAE1FE" w:rsidP="4618C905">
      <w:pPr>
        <w:pStyle w:val="ListParagraph"/>
        <w:numPr>
          <w:ilvl w:val="1"/>
          <w:numId w:val="5"/>
        </w:numPr>
        <w:spacing w:after="0"/>
        <w:rPr>
          <w:lang w:val="en-IE"/>
        </w:rPr>
      </w:pPr>
      <w:r w:rsidRPr="4618C905">
        <w:rPr>
          <w:lang w:val="en-IE"/>
        </w:rPr>
        <w:t>Failure to update tenancy information within one month of a change in rent</w:t>
      </w:r>
    </w:p>
    <w:p w14:paraId="40F5E363" w14:textId="00213B7C" w:rsidR="0DDAE1FE" w:rsidRDefault="0DDAE1FE" w:rsidP="4618C905">
      <w:pPr>
        <w:pStyle w:val="ListParagraph"/>
        <w:numPr>
          <w:ilvl w:val="1"/>
          <w:numId w:val="5"/>
        </w:numPr>
        <w:spacing w:after="0"/>
        <w:rPr>
          <w:lang w:val="en-IE"/>
        </w:rPr>
      </w:pPr>
      <w:r w:rsidRPr="4618C905">
        <w:rPr>
          <w:lang w:val="en-IE"/>
        </w:rPr>
        <w:t>Failure to register a tenancy</w:t>
      </w:r>
    </w:p>
    <w:p w14:paraId="77FC0878" w14:textId="0AAA5936" w:rsidR="0DDAE1FE" w:rsidRDefault="0DDAE1FE" w:rsidP="4618C905">
      <w:pPr>
        <w:pStyle w:val="ListParagraph"/>
        <w:numPr>
          <w:ilvl w:val="1"/>
          <w:numId w:val="5"/>
        </w:numPr>
        <w:spacing w:after="0"/>
        <w:rPr>
          <w:lang w:val="en-IE"/>
        </w:rPr>
      </w:pPr>
      <w:r w:rsidRPr="4618C905">
        <w:rPr>
          <w:lang w:val="en-IE"/>
        </w:rPr>
        <w:t>Giving a reason on a Notice of Termination that is known to be false or misleading</w:t>
      </w:r>
    </w:p>
    <w:p w14:paraId="0D3653C7" w14:textId="745244D8" w:rsidR="0DDAE1FE" w:rsidRDefault="0DDAE1FE" w:rsidP="4618C905">
      <w:pPr>
        <w:pStyle w:val="ListParagraph"/>
        <w:numPr>
          <w:ilvl w:val="1"/>
          <w:numId w:val="5"/>
        </w:numPr>
        <w:spacing w:after="0"/>
        <w:rPr>
          <w:lang w:val="en-IE"/>
        </w:rPr>
      </w:pPr>
      <w:r w:rsidRPr="4618C905">
        <w:rPr>
          <w:lang w:val="en-IE"/>
        </w:rPr>
        <w:t>Failure to offer a tenancy back to a tenant when certain conditions have been met</w:t>
      </w:r>
    </w:p>
    <w:p w14:paraId="005738BB" w14:textId="31B35F10" w:rsidR="0DDAE1FE" w:rsidRDefault="0DDAE1FE" w:rsidP="4618C905">
      <w:pPr>
        <w:pStyle w:val="ListParagraph"/>
        <w:numPr>
          <w:ilvl w:val="1"/>
          <w:numId w:val="5"/>
        </w:numPr>
        <w:spacing w:after="0"/>
        <w:rPr>
          <w:lang w:val="en-IE"/>
        </w:rPr>
      </w:pPr>
      <w:r w:rsidRPr="4618C905">
        <w:rPr>
          <w:lang w:val="en-IE"/>
        </w:rPr>
        <w:t>Seeking a deposit of more than the equivalent of one month’s rent</w:t>
      </w:r>
    </w:p>
    <w:p w14:paraId="3AA6A20D" w14:textId="0B61AFE2" w:rsidR="0DDAE1FE" w:rsidRDefault="0DDAE1FE" w:rsidP="4618C905">
      <w:pPr>
        <w:pStyle w:val="ListParagraph"/>
        <w:numPr>
          <w:ilvl w:val="1"/>
          <w:numId w:val="5"/>
        </w:numPr>
        <w:spacing w:after="0"/>
        <w:rPr>
          <w:lang w:val="en-IE"/>
        </w:rPr>
      </w:pPr>
      <w:r w:rsidRPr="4618C905">
        <w:rPr>
          <w:lang w:val="en-IE"/>
        </w:rPr>
        <w:lastRenderedPageBreak/>
        <w:t>Seeking an advance payment of more than one month’s rent</w:t>
      </w:r>
    </w:p>
    <w:sectPr w:rsidR="0DDAE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A705"/>
    <w:multiLevelType w:val="hybridMultilevel"/>
    <w:tmpl w:val="D82CAC9C"/>
    <w:lvl w:ilvl="0" w:tplc="BCC6697A">
      <w:start w:val="1"/>
      <w:numFmt w:val="bullet"/>
      <w:lvlText w:val=""/>
      <w:lvlJc w:val="left"/>
      <w:pPr>
        <w:ind w:left="360" w:hanging="360"/>
      </w:pPr>
      <w:rPr>
        <w:rFonts w:ascii="Symbol" w:hAnsi="Symbol" w:hint="default"/>
      </w:rPr>
    </w:lvl>
    <w:lvl w:ilvl="1" w:tplc="DAA6A066">
      <w:start w:val="1"/>
      <w:numFmt w:val="bullet"/>
      <w:lvlText w:val="o"/>
      <w:lvlJc w:val="left"/>
      <w:pPr>
        <w:ind w:left="1080" w:hanging="360"/>
      </w:pPr>
      <w:rPr>
        <w:rFonts w:ascii="Courier New" w:hAnsi="Courier New" w:hint="default"/>
      </w:rPr>
    </w:lvl>
    <w:lvl w:ilvl="2" w:tplc="17CA078A">
      <w:start w:val="1"/>
      <w:numFmt w:val="bullet"/>
      <w:lvlText w:val=""/>
      <w:lvlJc w:val="left"/>
      <w:pPr>
        <w:ind w:left="1800" w:hanging="360"/>
      </w:pPr>
      <w:rPr>
        <w:rFonts w:ascii="Wingdings" w:hAnsi="Wingdings" w:hint="default"/>
      </w:rPr>
    </w:lvl>
    <w:lvl w:ilvl="3" w:tplc="B5786FFC">
      <w:start w:val="1"/>
      <w:numFmt w:val="bullet"/>
      <w:lvlText w:val=""/>
      <w:lvlJc w:val="left"/>
      <w:pPr>
        <w:ind w:left="2520" w:hanging="360"/>
      </w:pPr>
      <w:rPr>
        <w:rFonts w:ascii="Symbol" w:hAnsi="Symbol" w:hint="default"/>
      </w:rPr>
    </w:lvl>
    <w:lvl w:ilvl="4" w:tplc="B3F09DF4">
      <w:start w:val="1"/>
      <w:numFmt w:val="bullet"/>
      <w:lvlText w:val="o"/>
      <w:lvlJc w:val="left"/>
      <w:pPr>
        <w:ind w:left="3240" w:hanging="360"/>
      </w:pPr>
      <w:rPr>
        <w:rFonts w:ascii="Courier New" w:hAnsi="Courier New" w:hint="default"/>
      </w:rPr>
    </w:lvl>
    <w:lvl w:ilvl="5" w:tplc="1116E35A">
      <w:start w:val="1"/>
      <w:numFmt w:val="bullet"/>
      <w:lvlText w:val=""/>
      <w:lvlJc w:val="left"/>
      <w:pPr>
        <w:ind w:left="3960" w:hanging="360"/>
      </w:pPr>
      <w:rPr>
        <w:rFonts w:ascii="Wingdings" w:hAnsi="Wingdings" w:hint="default"/>
      </w:rPr>
    </w:lvl>
    <w:lvl w:ilvl="6" w:tplc="73A04F04">
      <w:start w:val="1"/>
      <w:numFmt w:val="bullet"/>
      <w:lvlText w:val=""/>
      <w:lvlJc w:val="left"/>
      <w:pPr>
        <w:ind w:left="4680" w:hanging="360"/>
      </w:pPr>
      <w:rPr>
        <w:rFonts w:ascii="Symbol" w:hAnsi="Symbol" w:hint="default"/>
      </w:rPr>
    </w:lvl>
    <w:lvl w:ilvl="7" w:tplc="A792FD44">
      <w:start w:val="1"/>
      <w:numFmt w:val="bullet"/>
      <w:lvlText w:val="o"/>
      <w:lvlJc w:val="left"/>
      <w:pPr>
        <w:ind w:left="5400" w:hanging="360"/>
      </w:pPr>
      <w:rPr>
        <w:rFonts w:ascii="Courier New" w:hAnsi="Courier New" w:hint="default"/>
      </w:rPr>
    </w:lvl>
    <w:lvl w:ilvl="8" w:tplc="A768C82A">
      <w:start w:val="1"/>
      <w:numFmt w:val="bullet"/>
      <w:lvlText w:val=""/>
      <w:lvlJc w:val="left"/>
      <w:pPr>
        <w:ind w:left="6120" w:hanging="360"/>
      </w:pPr>
      <w:rPr>
        <w:rFonts w:ascii="Wingdings" w:hAnsi="Wingdings" w:hint="default"/>
      </w:rPr>
    </w:lvl>
  </w:abstractNum>
  <w:abstractNum w:abstractNumId="1" w15:restartNumberingAfterBreak="0">
    <w:nsid w:val="21130515"/>
    <w:multiLevelType w:val="hybridMultilevel"/>
    <w:tmpl w:val="0FBAD5D8"/>
    <w:lvl w:ilvl="0" w:tplc="494C3960">
      <w:start w:val="1"/>
      <w:numFmt w:val="bullet"/>
      <w:lvlText w:val=""/>
      <w:lvlJc w:val="left"/>
      <w:pPr>
        <w:ind w:left="360" w:hanging="360"/>
      </w:pPr>
      <w:rPr>
        <w:rFonts w:ascii="Symbol" w:hAnsi="Symbol" w:hint="default"/>
      </w:rPr>
    </w:lvl>
    <w:lvl w:ilvl="1" w:tplc="A5F2CFA6">
      <w:start w:val="1"/>
      <w:numFmt w:val="bullet"/>
      <w:lvlText w:val="o"/>
      <w:lvlJc w:val="left"/>
      <w:pPr>
        <w:ind w:left="1080" w:hanging="360"/>
      </w:pPr>
      <w:rPr>
        <w:rFonts w:ascii="Courier New" w:hAnsi="Courier New" w:hint="default"/>
      </w:rPr>
    </w:lvl>
    <w:lvl w:ilvl="2" w:tplc="D0F01E96">
      <w:start w:val="1"/>
      <w:numFmt w:val="bullet"/>
      <w:lvlText w:val=""/>
      <w:lvlJc w:val="left"/>
      <w:pPr>
        <w:ind w:left="1800" w:hanging="360"/>
      </w:pPr>
      <w:rPr>
        <w:rFonts w:ascii="Wingdings" w:hAnsi="Wingdings" w:hint="default"/>
      </w:rPr>
    </w:lvl>
    <w:lvl w:ilvl="3" w:tplc="CEC4F5A8">
      <w:start w:val="1"/>
      <w:numFmt w:val="bullet"/>
      <w:lvlText w:val=""/>
      <w:lvlJc w:val="left"/>
      <w:pPr>
        <w:ind w:left="2520" w:hanging="360"/>
      </w:pPr>
      <w:rPr>
        <w:rFonts w:ascii="Symbol" w:hAnsi="Symbol" w:hint="default"/>
      </w:rPr>
    </w:lvl>
    <w:lvl w:ilvl="4" w:tplc="C1A8FB7A">
      <w:start w:val="1"/>
      <w:numFmt w:val="bullet"/>
      <w:lvlText w:val="o"/>
      <w:lvlJc w:val="left"/>
      <w:pPr>
        <w:ind w:left="3240" w:hanging="360"/>
      </w:pPr>
      <w:rPr>
        <w:rFonts w:ascii="Courier New" w:hAnsi="Courier New" w:hint="default"/>
      </w:rPr>
    </w:lvl>
    <w:lvl w:ilvl="5" w:tplc="12EEA91A">
      <w:start w:val="1"/>
      <w:numFmt w:val="bullet"/>
      <w:lvlText w:val=""/>
      <w:lvlJc w:val="left"/>
      <w:pPr>
        <w:ind w:left="3960" w:hanging="360"/>
      </w:pPr>
      <w:rPr>
        <w:rFonts w:ascii="Wingdings" w:hAnsi="Wingdings" w:hint="default"/>
      </w:rPr>
    </w:lvl>
    <w:lvl w:ilvl="6" w:tplc="F1A614A4">
      <w:start w:val="1"/>
      <w:numFmt w:val="bullet"/>
      <w:lvlText w:val=""/>
      <w:lvlJc w:val="left"/>
      <w:pPr>
        <w:ind w:left="4680" w:hanging="360"/>
      </w:pPr>
      <w:rPr>
        <w:rFonts w:ascii="Symbol" w:hAnsi="Symbol" w:hint="default"/>
      </w:rPr>
    </w:lvl>
    <w:lvl w:ilvl="7" w:tplc="30B052B6">
      <w:start w:val="1"/>
      <w:numFmt w:val="bullet"/>
      <w:lvlText w:val="o"/>
      <w:lvlJc w:val="left"/>
      <w:pPr>
        <w:ind w:left="5400" w:hanging="360"/>
      </w:pPr>
      <w:rPr>
        <w:rFonts w:ascii="Courier New" w:hAnsi="Courier New" w:hint="default"/>
      </w:rPr>
    </w:lvl>
    <w:lvl w:ilvl="8" w:tplc="8F540698">
      <w:start w:val="1"/>
      <w:numFmt w:val="bullet"/>
      <w:lvlText w:val=""/>
      <w:lvlJc w:val="left"/>
      <w:pPr>
        <w:ind w:left="6120" w:hanging="360"/>
      </w:pPr>
      <w:rPr>
        <w:rFonts w:ascii="Wingdings" w:hAnsi="Wingdings" w:hint="default"/>
      </w:rPr>
    </w:lvl>
  </w:abstractNum>
  <w:abstractNum w:abstractNumId="2" w15:restartNumberingAfterBreak="0">
    <w:nsid w:val="375E1C03"/>
    <w:multiLevelType w:val="hybridMultilevel"/>
    <w:tmpl w:val="4FA6E7A2"/>
    <w:lvl w:ilvl="0" w:tplc="E13C34B0">
      <w:start w:val="1"/>
      <w:numFmt w:val="bullet"/>
      <w:lvlText w:val=""/>
      <w:lvlJc w:val="left"/>
      <w:pPr>
        <w:ind w:left="720" w:hanging="360"/>
      </w:pPr>
      <w:rPr>
        <w:rFonts w:ascii="Symbol" w:hAnsi="Symbol" w:hint="default"/>
      </w:rPr>
    </w:lvl>
    <w:lvl w:ilvl="1" w:tplc="B290DE4A">
      <w:start w:val="1"/>
      <w:numFmt w:val="bullet"/>
      <w:lvlText w:val="o"/>
      <w:lvlJc w:val="left"/>
      <w:pPr>
        <w:ind w:left="1440" w:hanging="360"/>
      </w:pPr>
      <w:rPr>
        <w:rFonts w:ascii="Courier New" w:hAnsi="Courier New" w:hint="default"/>
      </w:rPr>
    </w:lvl>
    <w:lvl w:ilvl="2" w:tplc="71F2BC32">
      <w:start w:val="1"/>
      <w:numFmt w:val="bullet"/>
      <w:lvlText w:val=""/>
      <w:lvlJc w:val="left"/>
      <w:pPr>
        <w:ind w:left="2160" w:hanging="360"/>
      </w:pPr>
      <w:rPr>
        <w:rFonts w:ascii="Wingdings" w:hAnsi="Wingdings" w:hint="default"/>
      </w:rPr>
    </w:lvl>
    <w:lvl w:ilvl="3" w:tplc="4E466A06">
      <w:start w:val="1"/>
      <w:numFmt w:val="bullet"/>
      <w:lvlText w:val=""/>
      <w:lvlJc w:val="left"/>
      <w:pPr>
        <w:ind w:left="2880" w:hanging="360"/>
      </w:pPr>
      <w:rPr>
        <w:rFonts w:ascii="Symbol" w:hAnsi="Symbol" w:hint="default"/>
      </w:rPr>
    </w:lvl>
    <w:lvl w:ilvl="4" w:tplc="FE78F8A2">
      <w:start w:val="1"/>
      <w:numFmt w:val="bullet"/>
      <w:lvlText w:val="o"/>
      <w:lvlJc w:val="left"/>
      <w:pPr>
        <w:ind w:left="3600" w:hanging="360"/>
      </w:pPr>
      <w:rPr>
        <w:rFonts w:ascii="Courier New" w:hAnsi="Courier New" w:hint="default"/>
      </w:rPr>
    </w:lvl>
    <w:lvl w:ilvl="5" w:tplc="256852E4">
      <w:start w:val="1"/>
      <w:numFmt w:val="bullet"/>
      <w:lvlText w:val=""/>
      <w:lvlJc w:val="left"/>
      <w:pPr>
        <w:ind w:left="4320" w:hanging="360"/>
      </w:pPr>
      <w:rPr>
        <w:rFonts w:ascii="Wingdings" w:hAnsi="Wingdings" w:hint="default"/>
      </w:rPr>
    </w:lvl>
    <w:lvl w:ilvl="6" w:tplc="61C085A0">
      <w:start w:val="1"/>
      <w:numFmt w:val="bullet"/>
      <w:lvlText w:val=""/>
      <w:lvlJc w:val="left"/>
      <w:pPr>
        <w:ind w:left="5040" w:hanging="360"/>
      </w:pPr>
      <w:rPr>
        <w:rFonts w:ascii="Symbol" w:hAnsi="Symbol" w:hint="default"/>
      </w:rPr>
    </w:lvl>
    <w:lvl w:ilvl="7" w:tplc="CA3A9EAE">
      <w:start w:val="1"/>
      <w:numFmt w:val="bullet"/>
      <w:lvlText w:val="o"/>
      <w:lvlJc w:val="left"/>
      <w:pPr>
        <w:ind w:left="5760" w:hanging="360"/>
      </w:pPr>
      <w:rPr>
        <w:rFonts w:ascii="Courier New" w:hAnsi="Courier New" w:hint="default"/>
      </w:rPr>
    </w:lvl>
    <w:lvl w:ilvl="8" w:tplc="04C69CBA">
      <w:start w:val="1"/>
      <w:numFmt w:val="bullet"/>
      <w:lvlText w:val=""/>
      <w:lvlJc w:val="left"/>
      <w:pPr>
        <w:ind w:left="6480" w:hanging="360"/>
      </w:pPr>
      <w:rPr>
        <w:rFonts w:ascii="Wingdings" w:hAnsi="Wingdings" w:hint="default"/>
      </w:rPr>
    </w:lvl>
  </w:abstractNum>
  <w:abstractNum w:abstractNumId="3" w15:restartNumberingAfterBreak="0">
    <w:nsid w:val="3BC4E218"/>
    <w:multiLevelType w:val="hybridMultilevel"/>
    <w:tmpl w:val="E568539C"/>
    <w:lvl w:ilvl="0" w:tplc="086C6CC6">
      <w:start w:val="1"/>
      <w:numFmt w:val="bullet"/>
      <w:lvlText w:val="·"/>
      <w:lvlJc w:val="left"/>
      <w:pPr>
        <w:ind w:left="720" w:hanging="360"/>
      </w:pPr>
      <w:rPr>
        <w:rFonts w:ascii="Symbol" w:hAnsi="Symbol" w:hint="default"/>
      </w:rPr>
    </w:lvl>
    <w:lvl w:ilvl="1" w:tplc="7F7C3274">
      <w:start w:val="1"/>
      <w:numFmt w:val="bullet"/>
      <w:lvlText w:val="o"/>
      <w:lvlJc w:val="left"/>
      <w:pPr>
        <w:ind w:left="1440" w:hanging="360"/>
      </w:pPr>
      <w:rPr>
        <w:rFonts w:ascii="Courier New" w:hAnsi="Courier New" w:hint="default"/>
      </w:rPr>
    </w:lvl>
    <w:lvl w:ilvl="2" w:tplc="0FC8AAB0">
      <w:start w:val="1"/>
      <w:numFmt w:val="bullet"/>
      <w:lvlText w:val=""/>
      <w:lvlJc w:val="left"/>
      <w:pPr>
        <w:ind w:left="2160" w:hanging="360"/>
      </w:pPr>
      <w:rPr>
        <w:rFonts w:ascii="Wingdings" w:hAnsi="Wingdings" w:hint="default"/>
      </w:rPr>
    </w:lvl>
    <w:lvl w:ilvl="3" w:tplc="D74299D4">
      <w:start w:val="1"/>
      <w:numFmt w:val="bullet"/>
      <w:lvlText w:val=""/>
      <w:lvlJc w:val="left"/>
      <w:pPr>
        <w:ind w:left="2880" w:hanging="360"/>
      </w:pPr>
      <w:rPr>
        <w:rFonts w:ascii="Symbol" w:hAnsi="Symbol" w:hint="default"/>
      </w:rPr>
    </w:lvl>
    <w:lvl w:ilvl="4" w:tplc="C8C825A2">
      <w:start w:val="1"/>
      <w:numFmt w:val="bullet"/>
      <w:lvlText w:val="o"/>
      <w:lvlJc w:val="left"/>
      <w:pPr>
        <w:ind w:left="3600" w:hanging="360"/>
      </w:pPr>
      <w:rPr>
        <w:rFonts w:ascii="Courier New" w:hAnsi="Courier New" w:hint="default"/>
      </w:rPr>
    </w:lvl>
    <w:lvl w:ilvl="5" w:tplc="FCDE66EA">
      <w:start w:val="1"/>
      <w:numFmt w:val="bullet"/>
      <w:lvlText w:val=""/>
      <w:lvlJc w:val="left"/>
      <w:pPr>
        <w:ind w:left="4320" w:hanging="360"/>
      </w:pPr>
      <w:rPr>
        <w:rFonts w:ascii="Wingdings" w:hAnsi="Wingdings" w:hint="default"/>
      </w:rPr>
    </w:lvl>
    <w:lvl w:ilvl="6" w:tplc="B6E0597C">
      <w:start w:val="1"/>
      <w:numFmt w:val="bullet"/>
      <w:lvlText w:val=""/>
      <w:lvlJc w:val="left"/>
      <w:pPr>
        <w:ind w:left="5040" w:hanging="360"/>
      </w:pPr>
      <w:rPr>
        <w:rFonts w:ascii="Symbol" w:hAnsi="Symbol" w:hint="default"/>
      </w:rPr>
    </w:lvl>
    <w:lvl w:ilvl="7" w:tplc="3EAA6F28">
      <w:start w:val="1"/>
      <w:numFmt w:val="bullet"/>
      <w:lvlText w:val="o"/>
      <w:lvlJc w:val="left"/>
      <w:pPr>
        <w:ind w:left="5760" w:hanging="360"/>
      </w:pPr>
      <w:rPr>
        <w:rFonts w:ascii="Courier New" w:hAnsi="Courier New" w:hint="default"/>
      </w:rPr>
    </w:lvl>
    <w:lvl w:ilvl="8" w:tplc="C7C6A768">
      <w:start w:val="1"/>
      <w:numFmt w:val="bullet"/>
      <w:lvlText w:val=""/>
      <w:lvlJc w:val="left"/>
      <w:pPr>
        <w:ind w:left="6480" w:hanging="360"/>
      </w:pPr>
      <w:rPr>
        <w:rFonts w:ascii="Wingdings" w:hAnsi="Wingdings" w:hint="default"/>
      </w:rPr>
    </w:lvl>
  </w:abstractNum>
  <w:abstractNum w:abstractNumId="4" w15:restartNumberingAfterBreak="0">
    <w:nsid w:val="3CB1587D"/>
    <w:multiLevelType w:val="hybridMultilevel"/>
    <w:tmpl w:val="91446432"/>
    <w:lvl w:ilvl="0" w:tplc="47586B3C">
      <w:start w:val="1"/>
      <w:numFmt w:val="bullet"/>
      <w:lvlText w:val=""/>
      <w:lvlJc w:val="left"/>
      <w:pPr>
        <w:ind w:left="720" w:hanging="360"/>
      </w:pPr>
      <w:rPr>
        <w:rFonts w:ascii="Symbol" w:hAnsi="Symbol" w:hint="default"/>
      </w:rPr>
    </w:lvl>
    <w:lvl w:ilvl="1" w:tplc="72442B82">
      <w:start w:val="1"/>
      <w:numFmt w:val="bullet"/>
      <w:lvlText w:val="o"/>
      <w:lvlJc w:val="left"/>
      <w:pPr>
        <w:ind w:left="1440" w:hanging="360"/>
      </w:pPr>
      <w:rPr>
        <w:rFonts w:ascii="Courier New" w:hAnsi="Courier New" w:hint="default"/>
      </w:rPr>
    </w:lvl>
    <w:lvl w:ilvl="2" w:tplc="87C2A4EA">
      <w:start w:val="1"/>
      <w:numFmt w:val="bullet"/>
      <w:lvlText w:val=""/>
      <w:lvlJc w:val="left"/>
      <w:pPr>
        <w:ind w:left="2160" w:hanging="360"/>
      </w:pPr>
      <w:rPr>
        <w:rFonts w:ascii="Wingdings" w:hAnsi="Wingdings" w:hint="default"/>
      </w:rPr>
    </w:lvl>
    <w:lvl w:ilvl="3" w:tplc="25A0E260">
      <w:start w:val="1"/>
      <w:numFmt w:val="bullet"/>
      <w:lvlText w:val=""/>
      <w:lvlJc w:val="left"/>
      <w:pPr>
        <w:ind w:left="2880" w:hanging="360"/>
      </w:pPr>
      <w:rPr>
        <w:rFonts w:ascii="Symbol" w:hAnsi="Symbol" w:hint="default"/>
      </w:rPr>
    </w:lvl>
    <w:lvl w:ilvl="4" w:tplc="246E11AE">
      <w:start w:val="1"/>
      <w:numFmt w:val="bullet"/>
      <w:lvlText w:val="o"/>
      <w:lvlJc w:val="left"/>
      <w:pPr>
        <w:ind w:left="3600" w:hanging="360"/>
      </w:pPr>
      <w:rPr>
        <w:rFonts w:ascii="Courier New" w:hAnsi="Courier New" w:hint="default"/>
      </w:rPr>
    </w:lvl>
    <w:lvl w:ilvl="5" w:tplc="A6E650E6">
      <w:start w:val="1"/>
      <w:numFmt w:val="bullet"/>
      <w:lvlText w:val=""/>
      <w:lvlJc w:val="left"/>
      <w:pPr>
        <w:ind w:left="4320" w:hanging="360"/>
      </w:pPr>
      <w:rPr>
        <w:rFonts w:ascii="Wingdings" w:hAnsi="Wingdings" w:hint="default"/>
      </w:rPr>
    </w:lvl>
    <w:lvl w:ilvl="6" w:tplc="FF46A738">
      <w:start w:val="1"/>
      <w:numFmt w:val="bullet"/>
      <w:lvlText w:val=""/>
      <w:lvlJc w:val="left"/>
      <w:pPr>
        <w:ind w:left="5040" w:hanging="360"/>
      </w:pPr>
      <w:rPr>
        <w:rFonts w:ascii="Symbol" w:hAnsi="Symbol" w:hint="default"/>
      </w:rPr>
    </w:lvl>
    <w:lvl w:ilvl="7" w:tplc="95148F4C">
      <w:start w:val="1"/>
      <w:numFmt w:val="bullet"/>
      <w:lvlText w:val="o"/>
      <w:lvlJc w:val="left"/>
      <w:pPr>
        <w:ind w:left="5760" w:hanging="360"/>
      </w:pPr>
      <w:rPr>
        <w:rFonts w:ascii="Courier New" w:hAnsi="Courier New" w:hint="default"/>
      </w:rPr>
    </w:lvl>
    <w:lvl w:ilvl="8" w:tplc="C728D3A4">
      <w:start w:val="1"/>
      <w:numFmt w:val="bullet"/>
      <w:lvlText w:val=""/>
      <w:lvlJc w:val="left"/>
      <w:pPr>
        <w:ind w:left="6480" w:hanging="360"/>
      </w:pPr>
      <w:rPr>
        <w:rFonts w:ascii="Wingdings" w:hAnsi="Wingdings" w:hint="default"/>
      </w:rPr>
    </w:lvl>
  </w:abstractNum>
  <w:abstractNum w:abstractNumId="5" w15:restartNumberingAfterBreak="0">
    <w:nsid w:val="4E44567C"/>
    <w:multiLevelType w:val="hybridMultilevel"/>
    <w:tmpl w:val="51907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5BB036F"/>
    <w:multiLevelType w:val="hybridMultilevel"/>
    <w:tmpl w:val="97EA81A4"/>
    <w:lvl w:ilvl="0" w:tplc="FA10F56A">
      <w:start w:val="1"/>
      <w:numFmt w:val="bullet"/>
      <w:lvlText w:val="·"/>
      <w:lvlJc w:val="left"/>
      <w:pPr>
        <w:ind w:left="720" w:hanging="360"/>
      </w:pPr>
      <w:rPr>
        <w:rFonts w:ascii="Symbol" w:hAnsi="Symbol" w:hint="default"/>
      </w:rPr>
    </w:lvl>
    <w:lvl w:ilvl="1" w:tplc="7130D2EA">
      <w:start w:val="1"/>
      <w:numFmt w:val="bullet"/>
      <w:lvlText w:val="o"/>
      <w:lvlJc w:val="left"/>
      <w:pPr>
        <w:ind w:left="1440" w:hanging="360"/>
      </w:pPr>
      <w:rPr>
        <w:rFonts w:ascii="Courier New" w:hAnsi="Courier New" w:hint="default"/>
      </w:rPr>
    </w:lvl>
    <w:lvl w:ilvl="2" w:tplc="D0FAA886">
      <w:start w:val="1"/>
      <w:numFmt w:val="bullet"/>
      <w:lvlText w:val=""/>
      <w:lvlJc w:val="left"/>
      <w:pPr>
        <w:ind w:left="2160" w:hanging="360"/>
      </w:pPr>
      <w:rPr>
        <w:rFonts w:ascii="Wingdings" w:hAnsi="Wingdings" w:hint="default"/>
      </w:rPr>
    </w:lvl>
    <w:lvl w:ilvl="3" w:tplc="A3C2B208">
      <w:start w:val="1"/>
      <w:numFmt w:val="bullet"/>
      <w:lvlText w:val=""/>
      <w:lvlJc w:val="left"/>
      <w:pPr>
        <w:ind w:left="2880" w:hanging="360"/>
      </w:pPr>
      <w:rPr>
        <w:rFonts w:ascii="Symbol" w:hAnsi="Symbol" w:hint="default"/>
      </w:rPr>
    </w:lvl>
    <w:lvl w:ilvl="4" w:tplc="6C1A9B1E">
      <w:start w:val="1"/>
      <w:numFmt w:val="bullet"/>
      <w:lvlText w:val="o"/>
      <w:lvlJc w:val="left"/>
      <w:pPr>
        <w:ind w:left="3600" w:hanging="360"/>
      </w:pPr>
      <w:rPr>
        <w:rFonts w:ascii="Courier New" w:hAnsi="Courier New" w:hint="default"/>
      </w:rPr>
    </w:lvl>
    <w:lvl w:ilvl="5" w:tplc="61601966">
      <w:start w:val="1"/>
      <w:numFmt w:val="bullet"/>
      <w:lvlText w:val=""/>
      <w:lvlJc w:val="left"/>
      <w:pPr>
        <w:ind w:left="4320" w:hanging="360"/>
      </w:pPr>
      <w:rPr>
        <w:rFonts w:ascii="Wingdings" w:hAnsi="Wingdings" w:hint="default"/>
      </w:rPr>
    </w:lvl>
    <w:lvl w:ilvl="6" w:tplc="9DC06926">
      <w:start w:val="1"/>
      <w:numFmt w:val="bullet"/>
      <w:lvlText w:val=""/>
      <w:lvlJc w:val="left"/>
      <w:pPr>
        <w:ind w:left="5040" w:hanging="360"/>
      </w:pPr>
      <w:rPr>
        <w:rFonts w:ascii="Symbol" w:hAnsi="Symbol" w:hint="default"/>
      </w:rPr>
    </w:lvl>
    <w:lvl w:ilvl="7" w:tplc="43522846">
      <w:start w:val="1"/>
      <w:numFmt w:val="bullet"/>
      <w:lvlText w:val="o"/>
      <w:lvlJc w:val="left"/>
      <w:pPr>
        <w:ind w:left="5760" w:hanging="360"/>
      </w:pPr>
      <w:rPr>
        <w:rFonts w:ascii="Courier New" w:hAnsi="Courier New" w:hint="default"/>
      </w:rPr>
    </w:lvl>
    <w:lvl w:ilvl="8" w:tplc="7CB6E488">
      <w:start w:val="1"/>
      <w:numFmt w:val="bullet"/>
      <w:lvlText w:val=""/>
      <w:lvlJc w:val="left"/>
      <w:pPr>
        <w:ind w:left="6480" w:hanging="360"/>
      </w:pPr>
      <w:rPr>
        <w:rFonts w:ascii="Wingdings" w:hAnsi="Wingdings" w:hint="default"/>
      </w:rPr>
    </w:lvl>
  </w:abstractNum>
  <w:abstractNum w:abstractNumId="7" w15:restartNumberingAfterBreak="0">
    <w:nsid w:val="6A967978"/>
    <w:multiLevelType w:val="hybridMultilevel"/>
    <w:tmpl w:val="FE86EA22"/>
    <w:lvl w:ilvl="0" w:tplc="A2E6BB76">
      <w:start w:val="1"/>
      <w:numFmt w:val="bullet"/>
      <w:lvlText w:val="·"/>
      <w:lvlJc w:val="left"/>
      <w:pPr>
        <w:ind w:left="720" w:hanging="360"/>
      </w:pPr>
      <w:rPr>
        <w:rFonts w:ascii="Symbol" w:hAnsi="Symbol" w:hint="default"/>
      </w:rPr>
    </w:lvl>
    <w:lvl w:ilvl="1" w:tplc="2228A408">
      <w:start w:val="1"/>
      <w:numFmt w:val="bullet"/>
      <w:lvlText w:val="o"/>
      <w:lvlJc w:val="left"/>
      <w:pPr>
        <w:ind w:left="1440" w:hanging="360"/>
      </w:pPr>
      <w:rPr>
        <w:rFonts w:ascii="Courier New" w:hAnsi="Courier New" w:hint="default"/>
      </w:rPr>
    </w:lvl>
    <w:lvl w:ilvl="2" w:tplc="6FB857E0">
      <w:start w:val="1"/>
      <w:numFmt w:val="bullet"/>
      <w:lvlText w:val=""/>
      <w:lvlJc w:val="left"/>
      <w:pPr>
        <w:ind w:left="2160" w:hanging="360"/>
      </w:pPr>
      <w:rPr>
        <w:rFonts w:ascii="Wingdings" w:hAnsi="Wingdings" w:hint="default"/>
      </w:rPr>
    </w:lvl>
    <w:lvl w:ilvl="3" w:tplc="7D5CAD68">
      <w:start w:val="1"/>
      <w:numFmt w:val="bullet"/>
      <w:lvlText w:val=""/>
      <w:lvlJc w:val="left"/>
      <w:pPr>
        <w:ind w:left="2880" w:hanging="360"/>
      </w:pPr>
      <w:rPr>
        <w:rFonts w:ascii="Symbol" w:hAnsi="Symbol" w:hint="default"/>
      </w:rPr>
    </w:lvl>
    <w:lvl w:ilvl="4" w:tplc="1AE64E3E">
      <w:start w:val="1"/>
      <w:numFmt w:val="bullet"/>
      <w:lvlText w:val="o"/>
      <w:lvlJc w:val="left"/>
      <w:pPr>
        <w:ind w:left="3600" w:hanging="360"/>
      </w:pPr>
      <w:rPr>
        <w:rFonts w:ascii="Courier New" w:hAnsi="Courier New" w:hint="default"/>
      </w:rPr>
    </w:lvl>
    <w:lvl w:ilvl="5" w:tplc="2788D086">
      <w:start w:val="1"/>
      <w:numFmt w:val="bullet"/>
      <w:lvlText w:val=""/>
      <w:lvlJc w:val="left"/>
      <w:pPr>
        <w:ind w:left="4320" w:hanging="360"/>
      </w:pPr>
      <w:rPr>
        <w:rFonts w:ascii="Wingdings" w:hAnsi="Wingdings" w:hint="default"/>
      </w:rPr>
    </w:lvl>
    <w:lvl w:ilvl="6" w:tplc="28A6D23A">
      <w:start w:val="1"/>
      <w:numFmt w:val="bullet"/>
      <w:lvlText w:val=""/>
      <w:lvlJc w:val="left"/>
      <w:pPr>
        <w:ind w:left="5040" w:hanging="360"/>
      </w:pPr>
      <w:rPr>
        <w:rFonts w:ascii="Symbol" w:hAnsi="Symbol" w:hint="default"/>
      </w:rPr>
    </w:lvl>
    <w:lvl w:ilvl="7" w:tplc="96F481D4">
      <w:start w:val="1"/>
      <w:numFmt w:val="bullet"/>
      <w:lvlText w:val="o"/>
      <w:lvlJc w:val="left"/>
      <w:pPr>
        <w:ind w:left="5760" w:hanging="360"/>
      </w:pPr>
      <w:rPr>
        <w:rFonts w:ascii="Courier New" w:hAnsi="Courier New" w:hint="default"/>
      </w:rPr>
    </w:lvl>
    <w:lvl w:ilvl="8" w:tplc="05E46D70">
      <w:start w:val="1"/>
      <w:numFmt w:val="bullet"/>
      <w:lvlText w:val=""/>
      <w:lvlJc w:val="left"/>
      <w:pPr>
        <w:ind w:left="6480" w:hanging="360"/>
      </w:pPr>
      <w:rPr>
        <w:rFonts w:ascii="Wingdings" w:hAnsi="Wingdings" w:hint="default"/>
      </w:rPr>
    </w:lvl>
  </w:abstractNum>
  <w:abstractNum w:abstractNumId="8" w15:restartNumberingAfterBreak="0">
    <w:nsid w:val="76BFACD7"/>
    <w:multiLevelType w:val="hybridMultilevel"/>
    <w:tmpl w:val="8D22DA46"/>
    <w:lvl w:ilvl="0" w:tplc="36780A70">
      <w:start w:val="1"/>
      <w:numFmt w:val="bullet"/>
      <w:lvlText w:val=""/>
      <w:lvlJc w:val="left"/>
      <w:pPr>
        <w:ind w:left="720" w:hanging="360"/>
      </w:pPr>
      <w:rPr>
        <w:rFonts w:ascii="Symbol" w:hAnsi="Symbol" w:hint="default"/>
      </w:rPr>
    </w:lvl>
    <w:lvl w:ilvl="1" w:tplc="E25ED006">
      <w:start w:val="1"/>
      <w:numFmt w:val="bullet"/>
      <w:lvlText w:val="o"/>
      <w:lvlJc w:val="left"/>
      <w:pPr>
        <w:ind w:left="1440" w:hanging="360"/>
      </w:pPr>
      <w:rPr>
        <w:rFonts w:ascii="Courier New" w:hAnsi="Courier New" w:hint="default"/>
      </w:rPr>
    </w:lvl>
    <w:lvl w:ilvl="2" w:tplc="EDC42C12">
      <w:start w:val="1"/>
      <w:numFmt w:val="bullet"/>
      <w:lvlText w:val=""/>
      <w:lvlJc w:val="left"/>
      <w:pPr>
        <w:ind w:left="2160" w:hanging="360"/>
      </w:pPr>
      <w:rPr>
        <w:rFonts w:ascii="Wingdings" w:hAnsi="Wingdings" w:hint="default"/>
      </w:rPr>
    </w:lvl>
    <w:lvl w:ilvl="3" w:tplc="1D7C5E9E">
      <w:start w:val="1"/>
      <w:numFmt w:val="bullet"/>
      <w:lvlText w:val=""/>
      <w:lvlJc w:val="left"/>
      <w:pPr>
        <w:ind w:left="2880" w:hanging="360"/>
      </w:pPr>
      <w:rPr>
        <w:rFonts w:ascii="Symbol" w:hAnsi="Symbol" w:hint="default"/>
      </w:rPr>
    </w:lvl>
    <w:lvl w:ilvl="4" w:tplc="58EE07EC">
      <w:start w:val="1"/>
      <w:numFmt w:val="bullet"/>
      <w:lvlText w:val="o"/>
      <w:lvlJc w:val="left"/>
      <w:pPr>
        <w:ind w:left="3600" w:hanging="360"/>
      </w:pPr>
      <w:rPr>
        <w:rFonts w:ascii="Courier New" w:hAnsi="Courier New" w:hint="default"/>
      </w:rPr>
    </w:lvl>
    <w:lvl w:ilvl="5" w:tplc="26BEBC84">
      <w:start w:val="1"/>
      <w:numFmt w:val="bullet"/>
      <w:lvlText w:val=""/>
      <w:lvlJc w:val="left"/>
      <w:pPr>
        <w:ind w:left="4320" w:hanging="360"/>
      </w:pPr>
      <w:rPr>
        <w:rFonts w:ascii="Wingdings" w:hAnsi="Wingdings" w:hint="default"/>
      </w:rPr>
    </w:lvl>
    <w:lvl w:ilvl="6" w:tplc="95323AA4">
      <w:start w:val="1"/>
      <w:numFmt w:val="bullet"/>
      <w:lvlText w:val=""/>
      <w:lvlJc w:val="left"/>
      <w:pPr>
        <w:ind w:left="5040" w:hanging="360"/>
      </w:pPr>
      <w:rPr>
        <w:rFonts w:ascii="Symbol" w:hAnsi="Symbol" w:hint="default"/>
      </w:rPr>
    </w:lvl>
    <w:lvl w:ilvl="7" w:tplc="25488990">
      <w:start w:val="1"/>
      <w:numFmt w:val="bullet"/>
      <w:lvlText w:val="o"/>
      <w:lvlJc w:val="left"/>
      <w:pPr>
        <w:ind w:left="5760" w:hanging="360"/>
      </w:pPr>
      <w:rPr>
        <w:rFonts w:ascii="Courier New" w:hAnsi="Courier New" w:hint="default"/>
      </w:rPr>
    </w:lvl>
    <w:lvl w:ilvl="8" w:tplc="FFBC5CD4">
      <w:start w:val="1"/>
      <w:numFmt w:val="bullet"/>
      <w:lvlText w:val=""/>
      <w:lvlJc w:val="left"/>
      <w:pPr>
        <w:ind w:left="6480" w:hanging="360"/>
      </w:pPr>
      <w:rPr>
        <w:rFonts w:ascii="Wingdings" w:hAnsi="Wingdings" w:hint="default"/>
      </w:rPr>
    </w:lvl>
  </w:abstractNum>
  <w:num w:numId="1" w16cid:durableId="2026129584">
    <w:abstractNumId w:val="6"/>
  </w:num>
  <w:num w:numId="2" w16cid:durableId="848568906">
    <w:abstractNumId w:val="3"/>
  </w:num>
  <w:num w:numId="3" w16cid:durableId="1423142919">
    <w:abstractNumId w:val="7"/>
  </w:num>
  <w:num w:numId="4" w16cid:durableId="1089616053">
    <w:abstractNumId w:val="1"/>
  </w:num>
  <w:num w:numId="5" w16cid:durableId="1497184774">
    <w:abstractNumId w:val="8"/>
  </w:num>
  <w:num w:numId="6" w16cid:durableId="862863574">
    <w:abstractNumId w:val="2"/>
  </w:num>
  <w:num w:numId="7" w16cid:durableId="1465385549">
    <w:abstractNumId w:val="0"/>
  </w:num>
  <w:num w:numId="8" w16cid:durableId="446851119">
    <w:abstractNumId w:val="4"/>
  </w:num>
  <w:num w:numId="9" w16cid:durableId="787548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7B7792"/>
    <w:rsid w:val="000026E8"/>
    <w:rsid w:val="00005700"/>
    <w:rsid w:val="000477B0"/>
    <w:rsid w:val="000527F3"/>
    <w:rsid w:val="000614EE"/>
    <w:rsid w:val="00061814"/>
    <w:rsid w:val="000A78F7"/>
    <w:rsid w:val="000B1900"/>
    <w:rsid w:val="000B6D23"/>
    <w:rsid w:val="00195256"/>
    <w:rsid w:val="0019766F"/>
    <w:rsid w:val="001E6D6D"/>
    <w:rsid w:val="002262A2"/>
    <w:rsid w:val="00242C73"/>
    <w:rsid w:val="002559E0"/>
    <w:rsid w:val="002C79BE"/>
    <w:rsid w:val="002F7431"/>
    <w:rsid w:val="00316E7A"/>
    <w:rsid w:val="00385F3C"/>
    <w:rsid w:val="003BBDE2"/>
    <w:rsid w:val="003E0566"/>
    <w:rsid w:val="0041129A"/>
    <w:rsid w:val="0042F473"/>
    <w:rsid w:val="00460061"/>
    <w:rsid w:val="004C2334"/>
    <w:rsid w:val="004D2134"/>
    <w:rsid w:val="004E4B81"/>
    <w:rsid w:val="0050771E"/>
    <w:rsid w:val="00516714"/>
    <w:rsid w:val="00563865"/>
    <w:rsid w:val="00570532"/>
    <w:rsid w:val="005C4B0E"/>
    <w:rsid w:val="005D529B"/>
    <w:rsid w:val="00603272"/>
    <w:rsid w:val="00634BDC"/>
    <w:rsid w:val="00661571"/>
    <w:rsid w:val="006627D2"/>
    <w:rsid w:val="0066708B"/>
    <w:rsid w:val="006751E9"/>
    <w:rsid w:val="006D773A"/>
    <w:rsid w:val="006E2C15"/>
    <w:rsid w:val="006E4589"/>
    <w:rsid w:val="00703E0D"/>
    <w:rsid w:val="00717611"/>
    <w:rsid w:val="0073636F"/>
    <w:rsid w:val="00775708"/>
    <w:rsid w:val="0078542F"/>
    <w:rsid w:val="007B0800"/>
    <w:rsid w:val="007D6780"/>
    <w:rsid w:val="007E4555"/>
    <w:rsid w:val="00804B0E"/>
    <w:rsid w:val="00841DE5"/>
    <w:rsid w:val="00870ECF"/>
    <w:rsid w:val="008C0DB1"/>
    <w:rsid w:val="008C522E"/>
    <w:rsid w:val="008DCE63"/>
    <w:rsid w:val="008E15A2"/>
    <w:rsid w:val="008EFEA3"/>
    <w:rsid w:val="008F6DDF"/>
    <w:rsid w:val="00935F77"/>
    <w:rsid w:val="00944FD6"/>
    <w:rsid w:val="0095C6AF"/>
    <w:rsid w:val="00987F8C"/>
    <w:rsid w:val="009932A4"/>
    <w:rsid w:val="009D072E"/>
    <w:rsid w:val="009D0DB5"/>
    <w:rsid w:val="009E3892"/>
    <w:rsid w:val="00A032E1"/>
    <w:rsid w:val="00A310F2"/>
    <w:rsid w:val="00A825DA"/>
    <w:rsid w:val="00AF6428"/>
    <w:rsid w:val="00B02157"/>
    <w:rsid w:val="00B525FC"/>
    <w:rsid w:val="00B5A53A"/>
    <w:rsid w:val="00B97E93"/>
    <w:rsid w:val="00C006F1"/>
    <w:rsid w:val="00C5349A"/>
    <w:rsid w:val="00C81D6C"/>
    <w:rsid w:val="00CD4982"/>
    <w:rsid w:val="00D02CB6"/>
    <w:rsid w:val="00D048AE"/>
    <w:rsid w:val="00D05349"/>
    <w:rsid w:val="00D078F0"/>
    <w:rsid w:val="00D135C4"/>
    <w:rsid w:val="00D92336"/>
    <w:rsid w:val="00DC20F6"/>
    <w:rsid w:val="00DC34CD"/>
    <w:rsid w:val="00DD1BF8"/>
    <w:rsid w:val="00DE4796"/>
    <w:rsid w:val="00E06D32"/>
    <w:rsid w:val="00E16801"/>
    <w:rsid w:val="00E342D8"/>
    <w:rsid w:val="00E413AF"/>
    <w:rsid w:val="00EAAC9D"/>
    <w:rsid w:val="00ED193C"/>
    <w:rsid w:val="00F97377"/>
    <w:rsid w:val="00FA06DE"/>
    <w:rsid w:val="00FA0ECC"/>
    <w:rsid w:val="00FD4BDE"/>
    <w:rsid w:val="00FD6912"/>
    <w:rsid w:val="00FF0782"/>
    <w:rsid w:val="0104F06F"/>
    <w:rsid w:val="0117A143"/>
    <w:rsid w:val="0137348B"/>
    <w:rsid w:val="014AE788"/>
    <w:rsid w:val="017F18CE"/>
    <w:rsid w:val="01986CDD"/>
    <w:rsid w:val="01ABD2EE"/>
    <w:rsid w:val="01B7FDF7"/>
    <w:rsid w:val="01F0BE50"/>
    <w:rsid w:val="01F4451B"/>
    <w:rsid w:val="01FD0877"/>
    <w:rsid w:val="020C5C61"/>
    <w:rsid w:val="02137FE5"/>
    <w:rsid w:val="0218B73E"/>
    <w:rsid w:val="024794EF"/>
    <w:rsid w:val="024DC2E8"/>
    <w:rsid w:val="02514849"/>
    <w:rsid w:val="0256FA30"/>
    <w:rsid w:val="028DE0D2"/>
    <w:rsid w:val="02915E27"/>
    <w:rsid w:val="02C63DE3"/>
    <w:rsid w:val="02DC61C9"/>
    <w:rsid w:val="02DD8203"/>
    <w:rsid w:val="031A4A99"/>
    <w:rsid w:val="032E64CF"/>
    <w:rsid w:val="033A5FFF"/>
    <w:rsid w:val="036AE7B8"/>
    <w:rsid w:val="0373AADC"/>
    <w:rsid w:val="0373B954"/>
    <w:rsid w:val="037E9711"/>
    <w:rsid w:val="0385767E"/>
    <w:rsid w:val="039D2049"/>
    <w:rsid w:val="03B0E340"/>
    <w:rsid w:val="03D43411"/>
    <w:rsid w:val="04074E73"/>
    <w:rsid w:val="04238FB4"/>
    <w:rsid w:val="0463A1C1"/>
    <w:rsid w:val="046C19F1"/>
    <w:rsid w:val="04A2CC30"/>
    <w:rsid w:val="04AC52B6"/>
    <w:rsid w:val="04AD0C34"/>
    <w:rsid w:val="04BAAABB"/>
    <w:rsid w:val="04C6F1D3"/>
    <w:rsid w:val="0523DACA"/>
    <w:rsid w:val="05284202"/>
    <w:rsid w:val="0549C356"/>
    <w:rsid w:val="0574E28D"/>
    <w:rsid w:val="0581646A"/>
    <w:rsid w:val="05840B6A"/>
    <w:rsid w:val="0584D12A"/>
    <w:rsid w:val="0585C966"/>
    <w:rsid w:val="05BA1FB2"/>
    <w:rsid w:val="05C5D7A7"/>
    <w:rsid w:val="05D11258"/>
    <w:rsid w:val="05E96280"/>
    <w:rsid w:val="0623E247"/>
    <w:rsid w:val="0671C869"/>
    <w:rsid w:val="06787076"/>
    <w:rsid w:val="0692D867"/>
    <w:rsid w:val="06EFBF8A"/>
    <w:rsid w:val="06FAA81A"/>
    <w:rsid w:val="071453CF"/>
    <w:rsid w:val="07287EEA"/>
    <w:rsid w:val="073029E0"/>
    <w:rsid w:val="07637DA9"/>
    <w:rsid w:val="07653607"/>
    <w:rsid w:val="076949BE"/>
    <w:rsid w:val="077AD743"/>
    <w:rsid w:val="07881EF7"/>
    <w:rsid w:val="079B9AAC"/>
    <w:rsid w:val="07DB59D1"/>
    <w:rsid w:val="07E524D0"/>
    <w:rsid w:val="07F1D611"/>
    <w:rsid w:val="07FD7470"/>
    <w:rsid w:val="080379E3"/>
    <w:rsid w:val="0822F3C3"/>
    <w:rsid w:val="083EFC08"/>
    <w:rsid w:val="0847A987"/>
    <w:rsid w:val="0877D245"/>
    <w:rsid w:val="08782484"/>
    <w:rsid w:val="0887A2FF"/>
    <w:rsid w:val="089952AA"/>
    <w:rsid w:val="08DC053F"/>
    <w:rsid w:val="090AE466"/>
    <w:rsid w:val="092C592D"/>
    <w:rsid w:val="09312F4C"/>
    <w:rsid w:val="09396997"/>
    <w:rsid w:val="096701C5"/>
    <w:rsid w:val="0979C4C8"/>
    <w:rsid w:val="09808971"/>
    <w:rsid w:val="0988A71A"/>
    <w:rsid w:val="09EE4881"/>
    <w:rsid w:val="0A713278"/>
    <w:rsid w:val="0A761994"/>
    <w:rsid w:val="0A8B8566"/>
    <w:rsid w:val="0ACBF7C0"/>
    <w:rsid w:val="0ACE8B29"/>
    <w:rsid w:val="0AF0D99F"/>
    <w:rsid w:val="0B793CD6"/>
    <w:rsid w:val="0B8A2A96"/>
    <w:rsid w:val="0B926589"/>
    <w:rsid w:val="0BAFF763"/>
    <w:rsid w:val="0BD8A24E"/>
    <w:rsid w:val="0C0BAF28"/>
    <w:rsid w:val="0C5C498A"/>
    <w:rsid w:val="0C76AFE7"/>
    <w:rsid w:val="0C9A4D78"/>
    <w:rsid w:val="0CCE1A45"/>
    <w:rsid w:val="0CEDC8FC"/>
    <w:rsid w:val="0DDAE1FE"/>
    <w:rsid w:val="0DDE084C"/>
    <w:rsid w:val="0E2D50A1"/>
    <w:rsid w:val="0E4A351A"/>
    <w:rsid w:val="0E879E3B"/>
    <w:rsid w:val="0E9E07B7"/>
    <w:rsid w:val="0EE0F417"/>
    <w:rsid w:val="0EF98970"/>
    <w:rsid w:val="0F040C0A"/>
    <w:rsid w:val="0F3DDC85"/>
    <w:rsid w:val="0F8AB4DE"/>
    <w:rsid w:val="0FAD7CC4"/>
    <w:rsid w:val="0FC10E74"/>
    <w:rsid w:val="0FC2FFC0"/>
    <w:rsid w:val="0FC8C34B"/>
    <w:rsid w:val="0FCED1B8"/>
    <w:rsid w:val="0FD856F2"/>
    <w:rsid w:val="101C739B"/>
    <w:rsid w:val="102353DA"/>
    <w:rsid w:val="10487BFF"/>
    <w:rsid w:val="104CA0DF"/>
    <w:rsid w:val="10613A43"/>
    <w:rsid w:val="10666E6A"/>
    <w:rsid w:val="10673680"/>
    <w:rsid w:val="106F211C"/>
    <w:rsid w:val="10D1E250"/>
    <w:rsid w:val="10F14204"/>
    <w:rsid w:val="10F5DD69"/>
    <w:rsid w:val="114B058D"/>
    <w:rsid w:val="114F3B84"/>
    <w:rsid w:val="116A4E97"/>
    <w:rsid w:val="116F43E4"/>
    <w:rsid w:val="118F507B"/>
    <w:rsid w:val="11B38340"/>
    <w:rsid w:val="1224CDB2"/>
    <w:rsid w:val="12466908"/>
    <w:rsid w:val="127448B3"/>
    <w:rsid w:val="1277B6FD"/>
    <w:rsid w:val="127C77A7"/>
    <w:rsid w:val="128A9DB6"/>
    <w:rsid w:val="12C0D143"/>
    <w:rsid w:val="12C741B0"/>
    <w:rsid w:val="12DC2508"/>
    <w:rsid w:val="13003474"/>
    <w:rsid w:val="13089DCF"/>
    <w:rsid w:val="131D0AD4"/>
    <w:rsid w:val="13649FFE"/>
    <w:rsid w:val="13C32E36"/>
    <w:rsid w:val="13CE2C37"/>
    <w:rsid w:val="13D7B618"/>
    <w:rsid w:val="13FB922C"/>
    <w:rsid w:val="143AD29C"/>
    <w:rsid w:val="143C7793"/>
    <w:rsid w:val="144DEEB8"/>
    <w:rsid w:val="14578C41"/>
    <w:rsid w:val="14644551"/>
    <w:rsid w:val="149270E5"/>
    <w:rsid w:val="14BE1725"/>
    <w:rsid w:val="14D77EC4"/>
    <w:rsid w:val="14DADF9C"/>
    <w:rsid w:val="150AC52F"/>
    <w:rsid w:val="15411DAE"/>
    <w:rsid w:val="156BABBE"/>
    <w:rsid w:val="157132FF"/>
    <w:rsid w:val="1580A207"/>
    <w:rsid w:val="15B15382"/>
    <w:rsid w:val="164F7F3C"/>
    <w:rsid w:val="16593DC1"/>
    <w:rsid w:val="165C9484"/>
    <w:rsid w:val="1673D6AF"/>
    <w:rsid w:val="169B8EA7"/>
    <w:rsid w:val="1718E6DD"/>
    <w:rsid w:val="176078B0"/>
    <w:rsid w:val="17A54605"/>
    <w:rsid w:val="1809F82B"/>
    <w:rsid w:val="183491AB"/>
    <w:rsid w:val="183E03D6"/>
    <w:rsid w:val="1850B0F3"/>
    <w:rsid w:val="18608A89"/>
    <w:rsid w:val="1861C9F7"/>
    <w:rsid w:val="187098E3"/>
    <w:rsid w:val="18798DE1"/>
    <w:rsid w:val="18868C9F"/>
    <w:rsid w:val="18C32D29"/>
    <w:rsid w:val="18EB972F"/>
    <w:rsid w:val="19146AB8"/>
    <w:rsid w:val="19610C79"/>
    <w:rsid w:val="1961550A"/>
    <w:rsid w:val="19683455"/>
    <w:rsid w:val="1977D21E"/>
    <w:rsid w:val="19B1FAE8"/>
    <w:rsid w:val="19E274DF"/>
    <w:rsid w:val="1A0FA0EA"/>
    <w:rsid w:val="1A25B322"/>
    <w:rsid w:val="1A4594E3"/>
    <w:rsid w:val="1A472B96"/>
    <w:rsid w:val="1A60EEBA"/>
    <w:rsid w:val="1A6E93FD"/>
    <w:rsid w:val="1A7E19FD"/>
    <w:rsid w:val="1AC66C78"/>
    <w:rsid w:val="1AFA7537"/>
    <w:rsid w:val="1AFEA4BF"/>
    <w:rsid w:val="1B0DD6F3"/>
    <w:rsid w:val="1B5B7019"/>
    <w:rsid w:val="1B6C573B"/>
    <w:rsid w:val="1B792D78"/>
    <w:rsid w:val="1B8A028C"/>
    <w:rsid w:val="1B8EA34C"/>
    <w:rsid w:val="1BD0D327"/>
    <w:rsid w:val="1BF3A36A"/>
    <w:rsid w:val="1BFDB145"/>
    <w:rsid w:val="1C984A5B"/>
    <w:rsid w:val="1CB9AD66"/>
    <w:rsid w:val="1CE41DCA"/>
    <w:rsid w:val="1D34349C"/>
    <w:rsid w:val="1D495C73"/>
    <w:rsid w:val="1D7F6B16"/>
    <w:rsid w:val="1D922156"/>
    <w:rsid w:val="1D9B2C7D"/>
    <w:rsid w:val="1DAB5090"/>
    <w:rsid w:val="1DB215C5"/>
    <w:rsid w:val="1DC425FA"/>
    <w:rsid w:val="1DC64D1B"/>
    <w:rsid w:val="1DC7CF48"/>
    <w:rsid w:val="1DFDBCAF"/>
    <w:rsid w:val="1E158A7C"/>
    <w:rsid w:val="1E1AB476"/>
    <w:rsid w:val="1E486091"/>
    <w:rsid w:val="1E62609D"/>
    <w:rsid w:val="1E6B04D6"/>
    <w:rsid w:val="1E9F802A"/>
    <w:rsid w:val="1EAA36D9"/>
    <w:rsid w:val="1EE399E4"/>
    <w:rsid w:val="1F00D44F"/>
    <w:rsid w:val="1F0E162A"/>
    <w:rsid w:val="1F21FB22"/>
    <w:rsid w:val="1F2860B7"/>
    <w:rsid w:val="1F33D971"/>
    <w:rsid w:val="1F6B1BF0"/>
    <w:rsid w:val="1FB3E47A"/>
    <w:rsid w:val="1FFC3736"/>
    <w:rsid w:val="203519E3"/>
    <w:rsid w:val="203EB029"/>
    <w:rsid w:val="20613A03"/>
    <w:rsid w:val="206232FA"/>
    <w:rsid w:val="20F1264D"/>
    <w:rsid w:val="20FDA0E2"/>
    <w:rsid w:val="21785501"/>
    <w:rsid w:val="21AFBF86"/>
    <w:rsid w:val="21F3D1F6"/>
    <w:rsid w:val="22296058"/>
    <w:rsid w:val="224B3AD6"/>
    <w:rsid w:val="2280C845"/>
    <w:rsid w:val="22C21CDA"/>
    <w:rsid w:val="22EA0179"/>
    <w:rsid w:val="2322537A"/>
    <w:rsid w:val="23251983"/>
    <w:rsid w:val="2336A926"/>
    <w:rsid w:val="2387FBBD"/>
    <w:rsid w:val="2395F90F"/>
    <w:rsid w:val="2398F30A"/>
    <w:rsid w:val="239A8CB0"/>
    <w:rsid w:val="23BF76CB"/>
    <w:rsid w:val="24156B8A"/>
    <w:rsid w:val="2421980D"/>
    <w:rsid w:val="244DB5E1"/>
    <w:rsid w:val="24542877"/>
    <w:rsid w:val="246B22E1"/>
    <w:rsid w:val="2471D6CC"/>
    <w:rsid w:val="24786082"/>
    <w:rsid w:val="2481D867"/>
    <w:rsid w:val="249227BC"/>
    <w:rsid w:val="24C2A175"/>
    <w:rsid w:val="251B2855"/>
    <w:rsid w:val="251D5174"/>
    <w:rsid w:val="253AA572"/>
    <w:rsid w:val="2594943E"/>
    <w:rsid w:val="25AE9184"/>
    <w:rsid w:val="25C261AB"/>
    <w:rsid w:val="25DFB488"/>
    <w:rsid w:val="25E321C4"/>
    <w:rsid w:val="25F1834E"/>
    <w:rsid w:val="26043D8C"/>
    <w:rsid w:val="2617D740"/>
    <w:rsid w:val="261A3283"/>
    <w:rsid w:val="261EF7BF"/>
    <w:rsid w:val="26270238"/>
    <w:rsid w:val="262F12AC"/>
    <w:rsid w:val="262F4E28"/>
    <w:rsid w:val="267164B3"/>
    <w:rsid w:val="26A1B05E"/>
    <w:rsid w:val="26A49172"/>
    <w:rsid w:val="26B33A41"/>
    <w:rsid w:val="26BF3E7F"/>
    <w:rsid w:val="26EB21F3"/>
    <w:rsid w:val="26F23784"/>
    <w:rsid w:val="270AA1DD"/>
    <w:rsid w:val="2740ACC1"/>
    <w:rsid w:val="2747B58D"/>
    <w:rsid w:val="27AA5A34"/>
    <w:rsid w:val="27EE6CE5"/>
    <w:rsid w:val="27F14C28"/>
    <w:rsid w:val="27F524EE"/>
    <w:rsid w:val="280ACEF2"/>
    <w:rsid w:val="28125604"/>
    <w:rsid w:val="28350098"/>
    <w:rsid w:val="285F68C7"/>
    <w:rsid w:val="287B7792"/>
    <w:rsid w:val="287C4525"/>
    <w:rsid w:val="2881BB82"/>
    <w:rsid w:val="28B1EF45"/>
    <w:rsid w:val="28B35DA5"/>
    <w:rsid w:val="28B5614C"/>
    <w:rsid w:val="28C4EEA4"/>
    <w:rsid w:val="28DCC394"/>
    <w:rsid w:val="294AAA3F"/>
    <w:rsid w:val="29640F37"/>
    <w:rsid w:val="2997B895"/>
    <w:rsid w:val="29A00C4C"/>
    <w:rsid w:val="29FA87C4"/>
    <w:rsid w:val="2A101CE8"/>
    <w:rsid w:val="2A1A34A4"/>
    <w:rsid w:val="2A1A9719"/>
    <w:rsid w:val="2A32D110"/>
    <w:rsid w:val="2A40261E"/>
    <w:rsid w:val="2A45DA0B"/>
    <w:rsid w:val="2A521896"/>
    <w:rsid w:val="2A75E2CC"/>
    <w:rsid w:val="2AA1ABF8"/>
    <w:rsid w:val="2AC9A894"/>
    <w:rsid w:val="2AE847DB"/>
    <w:rsid w:val="2B1086D8"/>
    <w:rsid w:val="2B6A9C83"/>
    <w:rsid w:val="2B70F8AA"/>
    <w:rsid w:val="2BC57812"/>
    <w:rsid w:val="2BE2A5C2"/>
    <w:rsid w:val="2C0CAA86"/>
    <w:rsid w:val="2C4B54E3"/>
    <w:rsid w:val="2C52B9C3"/>
    <w:rsid w:val="2C6DF8E0"/>
    <w:rsid w:val="2C9860F0"/>
    <w:rsid w:val="2CB901C6"/>
    <w:rsid w:val="2CD721FA"/>
    <w:rsid w:val="2CDAEFD2"/>
    <w:rsid w:val="2CE4D897"/>
    <w:rsid w:val="2CF4364C"/>
    <w:rsid w:val="2CFC9A23"/>
    <w:rsid w:val="2D57AA11"/>
    <w:rsid w:val="2D5BEA7A"/>
    <w:rsid w:val="2D6568CE"/>
    <w:rsid w:val="2D6840D4"/>
    <w:rsid w:val="2D996F6C"/>
    <w:rsid w:val="2D9C7F39"/>
    <w:rsid w:val="2DA913AE"/>
    <w:rsid w:val="2DB65829"/>
    <w:rsid w:val="2DCAA9E5"/>
    <w:rsid w:val="2DF2B08C"/>
    <w:rsid w:val="2E10E8E3"/>
    <w:rsid w:val="2E17F87B"/>
    <w:rsid w:val="2E2D6073"/>
    <w:rsid w:val="2E42536D"/>
    <w:rsid w:val="2E4CF9EE"/>
    <w:rsid w:val="2E644C44"/>
    <w:rsid w:val="2E741C56"/>
    <w:rsid w:val="2EB87CA2"/>
    <w:rsid w:val="2ECEC8FB"/>
    <w:rsid w:val="2F1B9BE6"/>
    <w:rsid w:val="2F271DF5"/>
    <w:rsid w:val="2F2FF47D"/>
    <w:rsid w:val="2F52107F"/>
    <w:rsid w:val="2F68CC4B"/>
    <w:rsid w:val="2F7E2C8E"/>
    <w:rsid w:val="2F8D7234"/>
    <w:rsid w:val="2F95677C"/>
    <w:rsid w:val="2FB8C29B"/>
    <w:rsid w:val="2FCDA0DA"/>
    <w:rsid w:val="2FD038BF"/>
    <w:rsid w:val="2FE23C80"/>
    <w:rsid w:val="2FFBEDD2"/>
    <w:rsid w:val="3035B88E"/>
    <w:rsid w:val="306A16A9"/>
    <w:rsid w:val="307EBC6B"/>
    <w:rsid w:val="30956CCA"/>
    <w:rsid w:val="309C0B05"/>
    <w:rsid w:val="30C34665"/>
    <w:rsid w:val="31178005"/>
    <w:rsid w:val="3186D266"/>
    <w:rsid w:val="31948A6B"/>
    <w:rsid w:val="31B90BD3"/>
    <w:rsid w:val="31F98F15"/>
    <w:rsid w:val="320F4624"/>
    <w:rsid w:val="324D1FCB"/>
    <w:rsid w:val="32822286"/>
    <w:rsid w:val="32B7F4FF"/>
    <w:rsid w:val="32BCD68C"/>
    <w:rsid w:val="32DC1121"/>
    <w:rsid w:val="32F86AB8"/>
    <w:rsid w:val="33397789"/>
    <w:rsid w:val="33507660"/>
    <w:rsid w:val="3353E06C"/>
    <w:rsid w:val="33667B0E"/>
    <w:rsid w:val="338A1855"/>
    <w:rsid w:val="33A40C5A"/>
    <w:rsid w:val="33A51C44"/>
    <w:rsid w:val="33A849C4"/>
    <w:rsid w:val="34116E9B"/>
    <w:rsid w:val="3411E56E"/>
    <w:rsid w:val="3414FC24"/>
    <w:rsid w:val="3452FD94"/>
    <w:rsid w:val="3469434B"/>
    <w:rsid w:val="34A20B08"/>
    <w:rsid w:val="34A8928D"/>
    <w:rsid w:val="34EEE9F8"/>
    <w:rsid w:val="3501C92B"/>
    <w:rsid w:val="3504707C"/>
    <w:rsid w:val="3514B9E0"/>
    <w:rsid w:val="3540B8A5"/>
    <w:rsid w:val="35573575"/>
    <w:rsid w:val="3561B03D"/>
    <w:rsid w:val="35E0C20F"/>
    <w:rsid w:val="3602A051"/>
    <w:rsid w:val="361B6B4A"/>
    <w:rsid w:val="363C9C91"/>
    <w:rsid w:val="365AFCA9"/>
    <w:rsid w:val="36616276"/>
    <w:rsid w:val="368DB36B"/>
    <w:rsid w:val="36945C47"/>
    <w:rsid w:val="36A2EFEB"/>
    <w:rsid w:val="36A851DF"/>
    <w:rsid w:val="36C337F1"/>
    <w:rsid w:val="36CB7D84"/>
    <w:rsid w:val="36DAFD04"/>
    <w:rsid w:val="3708EE35"/>
    <w:rsid w:val="371AAB2F"/>
    <w:rsid w:val="3775B28E"/>
    <w:rsid w:val="377DE795"/>
    <w:rsid w:val="37818ED4"/>
    <w:rsid w:val="37AADD29"/>
    <w:rsid w:val="37B42D92"/>
    <w:rsid w:val="37E9144F"/>
    <w:rsid w:val="38025B57"/>
    <w:rsid w:val="3848E8E5"/>
    <w:rsid w:val="38543162"/>
    <w:rsid w:val="385F488A"/>
    <w:rsid w:val="388AC154"/>
    <w:rsid w:val="3899D08B"/>
    <w:rsid w:val="38D183B9"/>
    <w:rsid w:val="38E4D02F"/>
    <w:rsid w:val="39137D62"/>
    <w:rsid w:val="391BC75E"/>
    <w:rsid w:val="39481D60"/>
    <w:rsid w:val="3964AA2D"/>
    <w:rsid w:val="396C88EB"/>
    <w:rsid w:val="3973E0A1"/>
    <w:rsid w:val="398563BB"/>
    <w:rsid w:val="398D7B9F"/>
    <w:rsid w:val="399114E3"/>
    <w:rsid w:val="39B5F65D"/>
    <w:rsid w:val="39E28D07"/>
    <w:rsid w:val="3A54A27F"/>
    <w:rsid w:val="3A6435CA"/>
    <w:rsid w:val="3A9DB92F"/>
    <w:rsid w:val="3AA5A0EA"/>
    <w:rsid w:val="3AB15BCD"/>
    <w:rsid w:val="3AB92A1D"/>
    <w:rsid w:val="3AC1A63B"/>
    <w:rsid w:val="3AD000B8"/>
    <w:rsid w:val="3AD9D0A6"/>
    <w:rsid w:val="3B4A708F"/>
    <w:rsid w:val="3B52A36D"/>
    <w:rsid w:val="3B74328D"/>
    <w:rsid w:val="3B778287"/>
    <w:rsid w:val="3B7A7546"/>
    <w:rsid w:val="3BA8C46C"/>
    <w:rsid w:val="3BCCB9B0"/>
    <w:rsid w:val="3BD41AC8"/>
    <w:rsid w:val="3BF50C28"/>
    <w:rsid w:val="3C15A020"/>
    <w:rsid w:val="3C1C426D"/>
    <w:rsid w:val="3C56DCDD"/>
    <w:rsid w:val="3CBEDC0D"/>
    <w:rsid w:val="3CC7C7E4"/>
    <w:rsid w:val="3D0C6333"/>
    <w:rsid w:val="3D2599ED"/>
    <w:rsid w:val="3D8288D1"/>
    <w:rsid w:val="3E002AC7"/>
    <w:rsid w:val="3E29A3F6"/>
    <w:rsid w:val="3E338665"/>
    <w:rsid w:val="3E503FA5"/>
    <w:rsid w:val="3E7EB005"/>
    <w:rsid w:val="3E9FE34F"/>
    <w:rsid w:val="3EEA5FD4"/>
    <w:rsid w:val="3EF9DF20"/>
    <w:rsid w:val="3F102E0E"/>
    <w:rsid w:val="3F17BB71"/>
    <w:rsid w:val="3F3D7E51"/>
    <w:rsid w:val="3F4BB075"/>
    <w:rsid w:val="3F9C56B5"/>
    <w:rsid w:val="3FBC45D8"/>
    <w:rsid w:val="3FF1229A"/>
    <w:rsid w:val="40113CAA"/>
    <w:rsid w:val="402F7649"/>
    <w:rsid w:val="40487565"/>
    <w:rsid w:val="404D865A"/>
    <w:rsid w:val="4054611B"/>
    <w:rsid w:val="40665AEA"/>
    <w:rsid w:val="406DF4AA"/>
    <w:rsid w:val="40CDC940"/>
    <w:rsid w:val="40D9226B"/>
    <w:rsid w:val="411C3ECB"/>
    <w:rsid w:val="412AD1D6"/>
    <w:rsid w:val="412B61E9"/>
    <w:rsid w:val="4143CAD3"/>
    <w:rsid w:val="4156E598"/>
    <w:rsid w:val="41687A7A"/>
    <w:rsid w:val="41A1F7C4"/>
    <w:rsid w:val="41B6E7EC"/>
    <w:rsid w:val="422237DD"/>
    <w:rsid w:val="423B502C"/>
    <w:rsid w:val="4245AC31"/>
    <w:rsid w:val="4259221D"/>
    <w:rsid w:val="4268C683"/>
    <w:rsid w:val="4271A8A9"/>
    <w:rsid w:val="427D2EAB"/>
    <w:rsid w:val="42CEC48F"/>
    <w:rsid w:val="431925B1"/>
    <w:rsid w:val="4337F006"/>
    <w:rsid w:val="43512AAC"/>
    <w:rsid w:val="438FEC6C"/>
    <w:rsid w:val="4391C291"/>
    <w:rsid w:val="43C0425E"/>
    <w:rsid w:val="43D0CDE1"/>
    <w:rsid w:val="43E8451F"/>
    <w:rsid w:val="441CC1E4"/>
    <w:rsid w:val="442D57D3"/>
    <w:rsid w:val="44443F4D"/>
    <w:rsid w:val="44472023"/>
    <w:rsid w:val="44472FC5"/>
    <w:rsid w:val="44569B0A"/>
    <w:rsid w:val="44576DAD"/>
    <w:rsid w:val="44659747"/>
    <w:rsid w:val="44853A8D"/>
    <w:rsid w:val="44A2E948"/>
    <w:rsid w:val="44B2CB6F"/>
    <w:rsid w:val="44BB2E9C"/>
    <w:rsid w:val="4501DAD5"/>
    <w:rsid w:val="453F78C9"/>
    <w:rsid w:val="4549263C"/>
    <w:rsid w:val="454BBE51"/>
    <w:rsid w:val="45942671"/>
    <w:rsid w:val="4599DBF6"/>
    <w:rsid w:val="45AAAC83"/>
    <w:rsid w:val="45B1B07F"/>
    <w:rsid w:val="45BD2FAC"/>
    <w:rsid w:val="45CFD58B"/>
    <w:rsid w:val="45DBB1EF"/>
    <w:rsid w:val="45F37CD2"/>
    <w:rsid w:val="4618C905"/>
    <w:rsid w:val="463E8E7C"/>
    <w:rsid w:val="4644A9AB"/>
    <w:rsid w:val="46915C7B"/>
    <w:rsid w:val="46950E4A"/>
    <w:rsid w:val="469F6CD0"/>
    <w:rsid w:val="46D88E58"/>
    <w:rsid w:val="46F1C11C"/>
    <w:rsid w:val="470907A6"/>
    <w:rsid w:val="4735E0E9"/>
    <w:rsid w:val="475E11CB"/>
    <w:rsid w:val="4766C45E"/>
    <w:rsid w:val="478391BB"/>
    <w:rsid w:val="47D773D9"/>
    <w:rsid w:val="47E1AF08"/>
    <w:rsid w:val="4811EC81"/>
    <w:rsid w:val="483A6619"/>
    <w:rsid w:val="488417F9"/>
    <w:rsid w:val="488580EB"/>
    <w:rsid w:val="48A51C90"/>
    <w:rsid w:val="48DD9ACC"/>
    <w:rsid w:val="48FACF71"/>
    <w:rsid w:val="4911DCCF"/>
    <w:rsid w:val="49180F89"/>
    <w:rsid w:val="49285285"/>
    <w:rsid w:val="494292FB"/>
    <w:rsid w:val="4944D258"/>
    <w:rsid w:val="499BE827"/>
    <w:rsid w:val="49B0B519"/>
    <w:rsid w:val="49BCC538"/>
    <w:rsid w:val="49CF6BB4"/>
    <w:rsid w:val="4A105273"/>
    <w:rsid w:val="4A155839"/>
    <w:rsid w:val="4A349C0A"/>
    <w:rsid w:val="4A4D2AA7"/>
    <w:rsid w:val="4A5AE4C0"/>
    <w:rsid w:val="4A7DEA7D"/>
    <w:rsid w:val="4A99C680"/>
    <w:rsid w:val="4AC4AFCA"/>
    <w:rsid w:val="4AF9E35E"/>
    <w:rsid w:val="4B0E0E64"/>
    <w:rsid w:val="4B3D1DD5"/>
    <w:rsid w:val="4B86EA00"/>
    <w:rsid w:val="4BB30C33"/>
    <w:rsid w:val="4BC5FD77"/>
    <w:rsid w:val="4BF1AF23"/>
    <w:rsid w:val="4BF646E7"/>
    <w:rsid w:val="4BF8A070"/>
    <w:rsid w:val="4C130E7E"/>
    <w:rsid w:val="4C25B7DD"/>
    <w:rsid w:val="4C5F493B"/>
    <w:rsid w:val="4C6B8D31"/>
    <w:rsid w:val="4CB89EA1"/>
    <w:rsid w:val="4CB8E06E"/>
    <w:rsid w:val="4CCBB635"/>
    <w:rsid w:val="4CCF19D8"/>
    <w:rsid w:val="4CEFC06B"/>
    <w:rsid w:val="4D090F9E"/>
    <w:rsid w:val="4D100DD7"/>
    <w:rsid w:val="4D34FCEA"/>
    <w:rsid w:val="4D4343F2"/>
    <w:rsid w:val="4D4C3FEC"/>
    <w:rsid w:val="4D5BE42A"/>
    <w:rsid w:val="4D6226E6"/>
    <w:rsid w:val="4D62B1E7"/>
    <w:rsid w:val="4D87329B"/>
    <w:rsid w:val="4DA0E8E2"/>
    <w:rsid w:val="4DAF41B4"/>
    <w:rsid w:val="4DC82045"/>
    <w:rsid w:val="4DCFE07A"/>
    <w:rsid w:val="4DD2517F"/>
    <w:rsid w:val="4DE95E2A"/>
    <w:rsid w:val="4E2A6403"/>
    <w:rsid w:val="4E4E99AC"/>
    <w:rsid w:val="4E9AA769"/>
    <w:rsid w:val="4E9EFF14"/>
    <w:rsid w:val="4EB6B482"/>
    <w:rsid w:val="4ECB07AD"/>
    <w:rsid w:val="4F280C15"/>
    <w:rsid w:val="4F4A9A49"/>
    <w:rsid w:val="4F9186F7"/>
    <w:rsid w:val="4FA798A6"/>
    <w:rsid w:val="4FC76BD4"/>
    <w:rsid w:val="4FE778AD"/>
    <w:rsid w:val="4FEEE4BC"/>
    <w:rsid w:val="500FF62E"/>
    <w:rsid w:val="5014F548"/>
    <w:rsid w:val="501713DB"/>
    <w:rsid w:val="505787FD"/>
    <w:rsid w:val="507569D3"/>
    <w:rsid w:val="50778665"/>
    <w:rsid w:val="50AE54C6"/>
    <w:rsid w:val="50BB7260"/>
    <w:rsid w:val="50CB49B0"/>
    <w:rsid w:val="50D1CBD1"/>
    <w:rsid w:val="50D21B6D"/>
    <w:rsid w:val="50F01C72"/>
    <w:rsid w:val="51058FF1"/>
    <w:rsid w:val="511D352B"/>
    <w:rsid w:val="511EE823"/>
    <w:rsid w:val="514D9459"/>
    <w:rsid w:val="51611B94"/>
    <w:rsid w:val="519E2680"/>
    <w:rsid w:val="51B21285"/>
    <w:rsid w:val="51EB8C66"/>
    <w:rsid w:val="52060939"/>
    <w:rsid w:val="526BC2B8"/>
    <w:rsid w:val="52B69581"/>
    <w:rsid w:val="52D3BBE6"/>
    <w:rsid w:val="53022500"/>
    <w:rsid w:val="531155C6"/>
    <w:rsid w:val="531279F6"/>
    <w:rsid w:val="53254D40"/>
    <w:rsid w:val="5347E43E"/>
    <w:rsid w:val="534B398B"/>
    <w:rsid w:val="536091F7"/>
    <w:rsid w:val="539F5B11"/>
    <w:rsid w:val="53BCBA10"/>
    <w:rsid w:val="53DE89B2"/>
    <w:rsid w:val="53E34258"/>
    <w:rsid w:val="53FB6887"/>
    <w:rsid w:val="541A8F5A"/>
    <w:rsid w:val="546ACAB5"/>
    <w:rsid w:val="54CD577E"/>
    <w:rsid w:val="54D80BB0"/>
    <w:rsid w:val="54DB090B"/>
    <w:rsid w:val="54E5D595"/>
    <w:rsid w:val="550D6652"/>
    <w:rsid w:val="55114FCF"/>
    <w:rsid w:val="553F56A7"/>
    <w:rsid w:val="55556621"/>
    <w:rsid w:val="5557C197"/>
    <w:rsid w:val="555AAA48"/>
    <w:rsid w:val="5561F03F"/>
    <w:rsid w:val="5569C2AE"/>
    <w:rsid w:val="556D4EA9"/>
    <w:rsid w:val="557E8C97"/>
    <w:rsid w:val="55B14492"/>
    <w:rsid w:val="55C45219"/>
    <w:rsid w:val="55EFA8CC"/>
    <w:rsid w:val="55F18E65"/>
    <w:rsid w:val="5604D731"/>
    <w:rsid w:val="5628580A"/>
    <w:rsid w:val="56342288"/>
    <w:rsid w:val="56A13C4F"/>
    <w:rsid w:val="56CFF34E"/>
    <w:rsid w:val="570AFAA6"/>
    <w:rsid w:val="572B5841"/>
    <w:rsid w:val="57475D50"/>
    <w:rsid w:val="57791C2B"/>
    <w:rsid w:val="57981759"/>
    <w:rsid w:val="57BA39EC"/>
    <w:rsid w:val="57C64D0B"/>
    <w:rsid w:val="57C68BB0"/>
    <w:rsid w:val="57DD3606"/>
    <w:rsid w:val="57E97933"/>
    <w:rsid w:val="583C0C9E"/>
    <w:rsid w:val="584BE023"/>
    <w:rsid w:val="58512327"/>
    <w:rsid w:val="5871D3DA"/>
    <w:rsid w:val="587757A8"/>
    <w:rsid w:val="587C53C3"/>
    <w:rsid w:val="58AEB7E3"/>
    <w:rsid w:val="58C9CF4B"/>
    <w:rsid w:val="58CC38A4"/>
    <w:rsid w:val="58E33357"/>
    <w:rsid w:val="58F80E74"/>
    <w:rsid w:val="58FDCDA7"/>
    <w:rsid w:val="5903EC8D"/>
    <w:rsid w:val="590C4742"/>
    <w:rsid w:val="59178A08"/>
    <w:rsid w:val="5938D337"/>
    <w:rsid w:val="595535E6"/>
    <w:rsid w:val="596024FC"/>
    <w:rsid w:val="598263CA"/>
    <w:rsid w:val="59A12F92"/>
    <w:rsid w:val="59C5EB94"/>
    <w:rsid w:val="5A230964"/>
    <w:rsid w:val="5A313DF3"/>
    <w:rsid w:val="5A4B2ABD"/>
    <w:rsid w:val="5A6362B5"/>
    <w:rsid w:val="5A686DB0"/>
    <w:rsid w:val="5A77F4B7"/>
    <w:rsid w:val="5B02CB09"/>
    <w:rsid w:val="5B144D3B"/>
    <w:rsid w:val="5B1FE67D"/>
    <w:rsid w:val="5B2B9753"/>
    <w:rsid w:val="5B97E903"/>
    <w:rsid w:val="5BA5C74D"/>
    <w:rsid w:val="5BF6485A"/>
    <w:rsid w:val="5C36DAD4"/>
    <w:rsid w:val="5C371E0C"/>
    <w:rsid w:val="5C398D1A"/>
    <w:rsid w:val="5C46EC16"/>
    <w:rsid w:val="5C60C410"/>
    <w:rsid w:val="5C64FED0"/>
    <w:rsid w:val="5C845696"/>
    <w:rsid w:val="5C9AC5BA"/>
    <w:rsid w:val="5CA80941"/>
    <w:rsid w:val="5CC1D9D7"/>
    <w:rsid w:val="5CC5130E"/>
    <w:rsid w:val="5CD657E2"/>
    <w:rsid w:val="5D17EA07"/>
    <w:rsid w:val="5D313FD2"/>
    <w:rsid w:val="5D7342FD"/>
    <w:rsid w:val="5DA5F7A6"/>
    <w:rsid w:val="5DB40538"/>
    <w:rsid w:val="5DB7E44A"/>
    <w:rsid w:val="5DB9150C"/>
    <w:rsid w:val="5DE232F7"/>
    <w:rsid w:val="5DED880C"/>
    <w:rsid w:val="5DF575E9"/>
    <w:rsid w:val="5DF65B30"/>
    <w:rsid w:val="5E05F540"/>
    <w:rsid w:val="5E128C49"/>
    <w:rsid w:val="5E2CB134"/>
    <w:rsid w:val="5E8F3FC1"/>
    <w:rsid w:val="5EA2C879"/>
    <w:rsid w:val="5EA3542B"/>
    <w:rsid w:val="5EABD8BF"/>
    <w:rsid w:val="5EDDC21F"/>
    <w:rsid w:val="5EF13EF8"/>
    <w:rsid w:val="5F0437B0"/>
    <w:rsid w:val="5F1803D0"/>
    <w:rsid w:val="5F28291D"/>
    <w:rsid w:val="5FC76F4A"/>
    <w:rsid w:val="6004DA4C"/>
    <w:rsid w:val="600716DD"/>
    <w:rsid w:val="600CF06E"/>
    <w:rsid w:val="60851309"/>
    <w:rsid w:val="60970374"/>
    <w:rsid w:val="60E55661"/>
    <w:rsid w:val="6105DE5B"/>
    <w:rsid w:val="610D55F2"/>
    <w:rsid w:val="6133738F"/>
    <w:rsid w:val="6137B408"/>
    <w:rsid w:val="615F54D5"/>
    <w:rsid w:val="617F3FDA"/>
    <w:rsid w:val="618F1C38"/>
    <w:rsid w:val="61A19DF4"/>
    <w:rsid w:val="61A596AA"/>
    <w:rsid w:val="61A6DB79"/>
    <w:rsid w:val="61B40AA4"/>
    <w:rsid w:val="61B7EC72"/>
    <w:rsid w:val="61E2E5AD"/>
    <w:rsid w:val="61E61093"/>
    <w:rsid w:val="61F753F8"/>
    <w:rsid w:val="62740D7E"/>
    <w:rsid w:val="62901107"/>
    <w:rsid w:val="62D2B52F"/>
    <w:rsid w:val="63045E99"/>
    <w:rsid w:val="63404225"/>
    <w:rsid w:val="634A0FE8"/>
    <w:rsid w:val="63692089"/>
    <w:rsid w:val="63915FC3"/>
    <w:rsid w:val="63ADFDE7"/>
    <w:rsid w:val="63CE7282"/>
    <w:rsid w:val="6421D083"/>
    <w:rsid w:val="643EB213"/>
    <w:rsid w:val="64570A0C"/>
    <w:rsid w:val="6460FDEF"/>
    <w:rsid w:val="64704396"/>
    <w:rsid w:val="648A576F"/>
    <w:rsid w:val="64A964AB"/>
    <w:rsid w:val="6504D2DC"/>
    <w:rsid w:val="653EDA20"/>
    <w:rsid w:val="654AA636"/>
    <w:rsid w:val="656DD87E"/>
    <w:rsid w:val="6573474C"/>
    <w:rsid w:val="65778885"/>
    <w:rsid w:val="65B399D9"/>
    <w:rsid w:val="65DE82C1"/>
    <w:rsid w:val="65E8DCE5"/>
    <w:rsid w:val="65E9C5F6"/>
    <w:rsid w:val="65FEFFC6"/>
    <w:rsid w:val="6616BA3D"/>
    <w:rsid w:val="66589C56"/>
    <w:rsid w:val="66A80E4D"/>
    <w:rsid w:val="66B1EEAD"/>
    <w:rsid w:val="66E3AEE5"/>
    <w:rsid w:val="6708CF8F"/>
    <w:rsid w:val="6780716E"/>
    <w:rsid w:val="678F9809"/>
    <w:rsid w:val="67C98A99"/>
    <w:rsid w:val="67E29CBB"/>
    <w:rsid w:val="67EFCD78"/>
    <w:rsid w:val="6827E15D"/>
    <w:rsid w:val="68403F63"/>
    <w:rsid w:val="68541A42"/>
    <w:rsid w:val="68568C68"/>
    <w:rsid w:val="6896ADAA"/>
    <w:rsid w:val="68D5BD27"/>
    <w:rsid w:val="68D6C7C0"/>
    <w:rsid w:val="6912D13A"/>
    <w:rsid w:val="6945D284"/>
    <w:rsid w:val="6947AC4C"/>
    <w:rsid w:val="696F8AEA"/>
    <w:rsid w:val="698646F2"/>
    <w:rsid w:val="69967B6D"/>
    <w:rsid w:val="69A2D86D"/>
    <w:rsid w:val="69EC20F3"/>
    <w:rsid w:val="69ECDCD3"/>
    <w:rsid w:val="6A162284"/>
    <w:rsid w:val="6A1A9A05"/>
    <w:rsid w:val="6A476AF0"/>
    <w:rsid w:val="6A97A703"/>
    <w:rsid w:val="6AC48087"/>
    <w:rsid w:val="6AD33C05"/>
    <w:rsid w:val="6B19705B"/>
    <w:rsid w:val="6B27FBB2"/>
    <w:rsid w:val="6B3DFB9A"/>
    <w:rsid w:val="6B534F16"/>
    <w:rsid w:val="6B553BA8"/>
    <w:rsid w:val="6B96BCB0"/>
    <w:rsid w:val="6BAF307E"/>
    <w:rsid w:val="6BB36A59"/>
    <w:rsid w:val="6BD38D36"/>
    <w:rsid w:val="6BDA023D"/>
    <w:rsid w:val="6BFCFE67"/>
    <w:rsid w:val="6BFED513"/>
    <w:rsid w:val="6C0EDF0F"/>
    <w:rsid w:val="6C1DCE24"/>
    <w:rsid w:val="6C216E0B"/>
    <w:rsid w:val="6C2DB9BF"/>
    <w:rsid w:val="6C427E9D"/>
    <w:rsid w:val="6C500A47"/>
    <w:rsid w:val="6C507994"/>
    <w:rsid w:val="6C71B7C3"/>
    <w:rsid w:val="6CAD3A10"/>
    <w:rsid w:val="6CF6E14A"/>
    <w:rsid w:val="6D16BA16"/>
    <w:rsid w:val="6D1C5B0A"/>
    <w:rsid w:val="6D27CA2E"/>
    <w:rsid w:val="6D2CF9AF"/>
    <w:rsid w:val="6D4A1417"/>
    <w:rsid w:val="6D7AEB8B"/>
    <w:rsid w:val="6E007FFA"/>
    <w:rsid w:val="6E4BE338"/>
    <w:rsid w:val="6E551C02"/>
    <w:rsid w:val="6E648719"/>
    <w:rsid w:val="6E67AD7C"/>
    <w:rsid w:val="6E707394"/>
    <w:rsid w:val="6E81EFD8"/>
    <w:rsid w:val="6EAA86DF"/>
    <w:rsid w:val="6EB90B91"/>
    <w:rsid w:val="6EBC9A88"/>
    <w:rsid w:val="6ED086F5"/>
    <w:rsid w:val="6EE28088"/>
    <w:rsid w:val="6EF0448D"/>
    <w:rsid w:val="6EFCF835"/>
    <w:rsid w:val="6F1AA52D"/>
    <w:rsid w:val="6F1C99A6"/>
    <w:rsid w:val="6F24AE58"/>
    <w:rsid w:val="6F27928D"/>
    <w:rsid w:val="6F2FD7EC"/>
    <w:rsid w:val="6F4FD352"/>
    <w:rsid w:val="6F60BF6C"/>
    <w:rsid w:val="6F639AEB"/>
    <w:rsid w:val="6F78F636"/>
    <w:rsid w:val="6F7CE7D3"/>
    <w:rsid w:val="6F84266C"/>
    <w:rsid w:val="6FB06D22"/>
    <w:rsid w:val="6FB77666"/>
    <w:rsid w:val="6FD58BBA"/>
    <w:rsid w:val="6FF87D3B"/>
    <w:rsid w:val="700B69F3"/>
    <w:rsid w:val="7059C979"/>
    <w:rsid w:val="70735B27"/>
    <w:rsid w:val="709A322C"/>
    <w:rsid w:val="70C4349B"/>
    <w:rsid w:val="71591D3C"/>
    <w:rsid w:val="7183546A"/>
    <w:rsid w:val="718E8460"/>
    <w:rsid w:val="71A09EC3"/>
    <w:rsid w:val="71B5D92C"/>
    <w:rsid w:val="71BFF7F8"/>
    <w:rsid w:val="71E7F85C"/>
    <w:rsid w:val="723B2C9F"/>
    <w:rsid w:val="72460FAA"/>
    <w:rsid w:val="72A08291"/>
    <w:rsid w:val="72AF55E7"/>
    <w:rsid w:val="72C268F5"/>
    <w:rsid w:val="72EFB19E"/>
    <w:rsid w:val="731ECD8F"/>
    <w:rsid w:val="732F9632"/>
    <w:rsid w:val="737C720A"/>
    <w:rsid w:val="7392C5D1"/>
    <w:rsid w:val="73BEE7E9"/>
    <w:rsid w:val="73EB555B"/>
    <w:rsid w:val="73FF9347"/>
    <w:rsid w:val="742A52FE"/>
    <w:rsid w:val="74545C8C"/>
    <w:rsid w:val="7463D4A7"/>
    <w:rsid w:val="7493A4E2"/>
    <w:rsid w:val="74CAA9C5"/>
    <w:rsid w:val="74E41AE8"/>
    <w:rsid w:val="74EA27AA"/>
    <w:rsid w:val="74ED4231"/>
    <w:rsid w:val="7551CDFD"/>
    <w:rsid w:val="755703F4"/>
    <w:rsid w:val="75999CB2"/>
    <w:rsid w:val="75CCB505"/>
    <w:rsid w:val="75DB059D"/>
    <w:rsid w:val="75EC2C3C"/>
    <w:rsid w:val="75F279FE"/>
    <w:rsid w:val="763D8D19"/>
    <w:rsid w:val="7653E807"/>
    <w:rsid w:val="766F8D14"/>
    <w:rsid w:val="769ABCE7"/>
    <w:rsid w:val="76C72160"/>
    <w:rsid w:val="76D84A9A"/>
    <w:rsid w:val="76E78090"/>
    <w:rsid w:val="770972CC"/>
    <w:rsid w:val="7728ADA0"/>
    <w:rsid w:val="777D80AA"/>
    <w:rsid w:val="7784F95C"/>
    <w:rsid w:val="779A7F26"/>
    <w:rsid w:val="783A0322"/>
    <w:rsid w:val="7857AA3A"/>
    <w:rsid w:val="7860C81C"/>
    <w:rsid w:val="789C78FC"/>
    <w:rsid w:val="78BECDF9"/>
    <w:rsid w:val="78E58D18"/>
    <w:rsid w:val="79699B14"/>
    <w:rsid w:val="798B9779"/>
    <w:rsid w:val="799968A7"/>
    <w:rsid w:val="79B6E3B1"/>
    <w:rsid w:val="79BDD790"/>
    <w:rsid w:val="79C08634"/>
    <w:rsid w:val="79F6082F"/>
    <w:rsid w:val="7A1C598A"/>
    <w:rsid w:val="7A2811CB"/>
    <w:rsid w:val="7A2E443D"/>
    <w:rsid w:val="7A42A315"/>
    <w:rsid w:val="7A674141"/>
    <w:rsid w:val="7A69E03C"/>
    <w:rsid w:val="7A6E287E"/>
    <w:rsid w:val="7A6F6BFF"/>
    <w:rsid w:val="7A997635"/>
    <w:rsid w:val="7ACD8521"/>
    <w:rsid w:val="7ACF7B9F"/>
    <w:rsid w:val="7AE0FF1E"/>
    <w:rsid w:val="7B231F1E"/>
    <w:rsid w:val="7B40F47B"/>
    <w:rsid w:val="7B7C9FA6"/>
    <w:rsid w:val="7BBDE933"/>
    <w:rsid w:val="7BBF1E84"/>
    <w:rsid w:val="7BDCE6DF"/>
    <w:rsid w:val="7BFDDC63"/>
    <w:rsid w:val="7C4D25D7"/>
    <w:rsid w:val="7C5AF1EF"/>
    <w:rsid w:val="7C6F4271"/>
    <w:rsid w:val="7C73BE4B"/>
    <w:rsid w:val="7C9DE000"/>
    <w:rsid w:val="7CAD73F8"/>
    <w:rsid w:val="7CBF45C0"/>
    <w:rsid w:val="7CEC7C04"/>
    <w:rsid w:val="7D470B84"/>
    <w:rsid w:val="7D66E779"/>
    <w:rsid w:val="7D95996A"/>
    <w:rsid w:val="7D9E8CDA"/>
    <w:rsid w:val="7DBB79E8"/>
    <w:rsid w:val="7DF09A80"/>
    <w:rsid w:val="7E07B552"/>
    <w:rsid w:val="7E089339"/>
    <w:rsid w:val="7E269B49"/>
    <w:rsid w:val="7E45AAF8"/>
    <w:rsid w:val="7E5307D1"/>
    <w:rsid w:val="7F291100"/>
    <w:rsid w:val="7F324ABB"/>
    <w:rsid w:val="7F3932C7"/>
    <w:rsid w:val="7F43D18B"/>
    <w:rsid w:val="7F5167A7"/>
    <w:rsid w:val="7FBE82B2"/>
    <w:rsid w:val="7FFB9DF8"/>
    <w:rsid w:val="7FFC8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7792"/>
  <w15:chartTrackingRefBased/>
  <w15:docId w15:val="{64B07441-61C5-4A62-A6FB-178AEDF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8af056-97d0-40e1-b5c1-b754ef5090bb" xsi:nil="true"/>
    <lcf76f155ced4ddcb4097134ff3c332f xmlns="f0af48f2-7d19-474c-87e5-85fc9939c2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4A1B046E523541AA35B8D5D71844CF" ma:contentTypeVersion="18" ma:contentTypeDescription="Create a new document." ma:contentTypeScope="" ma:versionID="9f1041260ff61dbfb28ded789dce3c43">
  <xsd:schema xmlns:xsd="http://www.w3.org/2001/XMLSchema" xmlns:xs="http://www.w3.org/2001/XMLSchema" xmlns:p="http://schemas.microsoft.com/office/2006/metadata/properties" xmlns:ns2="f0af48f2-7d19-474c-87e5-85fc9939c27c" xmlns:ns3="5d8af056-97d0-40e1-b5c1-b754ef5090bb" targetNamespace="http://schemas.microsoft.com/office/2006/metadata/properties" ma:root="true" ma:fieldsID="a119fe1ae53f10d5399c933a0cc3e451" ns2:_="" ns3:_="">
    <xsd:import namespace="f0af48f2-7d19-474c-87e5-85fc9939c27c"/>
    <xsd:import namespace="5d8af056-97d0-40e1-b5c1-b754ef509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48f2-7d19-474c-87e5-85fc9939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6ae31c-5b83-43b7-b371-4a3d4b694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af056-97d0-40e1-b5c1-b754ef509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565276-a0c7-4a9c-ad5d-57a3af8e0562}" ma:internalName="TaxCatchAll" ma:showField="CatchAllData" ma:web="5d8af056-97d0-40e1-b5c1-b754ef509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59108-BADC-4F7E-8262-3D9E622FE9B5}">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5d8af056-97d0-40e1-b5c1-b754ef5090bb"/>
    <ds:schemaRef ds:uri="http://schemas.microsoft.com/office/infopath/2007/PartnerControls"/>
    <ds:schemaRef ds:uri="f0af48f2-7d19-474c-87e5-85fc9939c27c"/>
  </ds:schemaRefs>
</ds:datastoreItem>
</file>

<file path=customXml/itemProps2.xml><?xml version="1.0" encoding="utf-8"?>
<ds:datastoreItem xmlns:ds="http://schemas.openxmlformats.org/officeDocument/2006/customXml" ds:itemID="{5194F15D-A3BF-41E3-8AC2-45828E5896F1}">
  <ds:schemaRefs>
    <ds:schemaRef ds:uri="http://schemas.microsoft.com/sharepoint/v3/contenttype/forms"/>
  </ds:schemaRefs>
</ds:datastoreItem>
</file>

<file path=customXml/itemProps3.xml><?xml version="1.0" encoding="utf-8"?>
<ds:datastoreItem xmlns:ds="http://schemas.openxmlformats.org/officeDocument/2006/customXml" ds:itemID="{0F55C36C-EAA5-4430-825E-B5A911CA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48f2-7d19-474c-87e5-85fc9939c27c"/>
    <ds:schemaRef ds:uri="5d8af056-97d0-40e1-b5c1-b754ef509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Murphy</dc:creator>
  <cp:keywords/>
  <dc:description/>
  <cp:lastModifiedBy>Anna Reymond</cp:lastModifiedBy>
  <cp:revision>2</cp:revision>
  <dcterms:created xsi:type="dcterms:W3CDTF">2024-09-12T09:40:00Z</dcterms:created>
  <dcterms:modified xsi:type="dcterms:W3CDTF">2024-09-12T09:40:00Z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0x0101007F4A1B046E523541AA35B8D5D71844CF</vt:lpwstr>
  </property>
  <property fmtid="{D5CDD505-2E9C-101B-9397-08002B2CF9AE}" pid="3" name="MediaServiceImageTags">
    <vt:lpwstr/>
  </property>
</Properties>
</file>